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68642" w14:textId="77777777" w:rsidR="00EB2334" w:rsidRPr="005D60DC" w:rsidRDefault="00EB2334" w:rsidP="00EB2334">
      <w:pPr>
        <w:spacing w:line="240" w:lineRule="auto"/>
        <w:contextualSpacing/>
        <w:jc w:val="center"/>
        <w:rPr>
          <w:rFonts w:ascii="Times New Roman" w:eastAsia="Calibri" w:hAnsi="Times New Roman" w:cs="Times New Roman"/>
          <w:sz w:val="24"/>
          <w:szCs w:val="24"/>
        </w:rPr>
      </w:pPr>
      <w:bookmarkStart w:id="0" w:name="_CITRUS_ITALIC"/>
      <w:bookmarkEnd w:id="0"/>
      <w:r w:rsidRPr="005D60DC">
        <w:rPr>
          <w:rFonts w:ascii="Times New Roman" w:eastAsia="Calibri" w:hAnsi="Times New Roman" w:cs="Times New Roman"/>
          <w:sz w:val="24"/>
          <w:szCs w:val="24"/>
        </w:rPr>
        <w:t>UNITED STATES DISTRICT COURT</w:t>
      </w:r>
    </w:p>
    <w:p w14:paraId="02F9418F" w14:textId="77777777" w:rsidR="00EB2334" w:rsidRPr="005D60DC" w:rsidRDefault="00EB2334" w:rsidP="00EB2334">
      <w:pPr>
        <w:spacing w:line="240" w:lineRule="auto"/>
        <w:ind w:left="107"/>
        <w:contextualSpacing/>
        <w:jc w:val="center"/>
        <w:rPr>
          <w:rFonts w:ascii="Times New Roman" w:eastAsia="Times New Roman" w:hAnsi="Times New Roman" w:cs="Times New Roman"/>
          <w:sz w:val="24"/>
          <w:szCs w:val="24"/>
        </w:rPr>
      </w:pPr>
      <w:r w:rsidRPr="005D60DC">
        <w:rPr>
          <w:rFonts w:ascii="Times New Roman" w:eastAsia="Calibri" w:hAnsi="Times New Roman" w:cs="Times New Roman"/>
          <w:sz w:val="24"/>
          <w:szCs w:val="24"/>
        </w:rPr>
        <w:t>DISTRICT OF MOOT</w:t>
      </w:r>
    </w:p>
    <w:tbl>
      <w:tblPr>
        <w:tblStyle w:val="TableGrid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EB2334" w:rsidRPr="005D60DC" w14:paraId="266A0354" w14:textId="77777777" w:rsidTr="007332EC">
        <w:tc>
          <w:tcPr>
            <w:tcW w:w="4788" w:type="dxa"/>
          </w:tcPr>
          <w:p w14:paraId="2F54CB8A" w14:textId="77777777" w:rsidR="00EB2334" w:rsidRPr="005D60DC" w:rsidRDefault="00EB2334" w:rsidP="007332EC">
            <w:pPr>
              <w:rPr>
                <w:rFonts w:eastAsia="Calibri"/>
              </w:rPr>
            </w:pPr>
          </w:p>
        </w:tc>
        <w:tc>
          <w:tcPr>
            <w:tcW w:w="4788" w:type="dxa"/>
          </w:tcPr>
          <w:p w14:paraId="631136A3" w14:textId="77777777" w:rsidR="00EB2334" w:rsidRPr="005D60DC" w:rsidRDefault="00EB2334" w:rsidP="00EB2334">
            <w:pPr>
              <w:rPr>
                <w:rFonts w:eastAsia="Calibri"/>
              </w:rPr>
            </w:pPr>
          </w:p>
        </w:tc>
      </w:tr>
      <w:tr w:rsidR="00EB2334" w:rsidRPr="005D60DC" w14:paraId="7F7B21BB" w14:textId="77777777" w:rsidTr="007332EC">
        <w:tc>
          <w:tcPr>
            <w:tcW w:w="4788" w:type="dxa"/>
          </w:tcPr>
          <w:p w14:paraId="4C0E6782" w14:textId="77777777" w:rsidR="00EB2334" w:rsidRPr="005D60DC" w:rsidRDefault="00EB2334" w:rsidP="007332EC">
            <w:pPr>
              <w:rPr>
                <w:rFonts w:eastAsia="Calibri"/>
              </w:rPr>
            </w:pPr>
          </w:p>
          <w:p w14:paraId="5FA5D6B1" w14:textId="77777777" w:rsidR="00EB2334" w:rsidRPr="005D60DC" w:rsidRDefault="00EB2334" w:rsidP="007332EC">
            <w:pPr>
              <w:rPr>
                <w:rFonts w:eastAsia="Calibri"/>
              </w:rPr>
            </w:pPr>
            <w:r w:rsidRPr="005D60DC">
              <w:rPr>
                <w:rFonts w:eastAsia="Calibri"/>
              </w:rPr>
              <w:t>OGS TV, INC.</w:t>
            </w:r>
          </w:p>
          <w:p w14:paraId="782A36CA" w14:textId="77777777" w:rsidR="00EB2334" w:rsidRPr="005D60DC" w:rsidRDefault="00EB2334" w:rsidP="007332EC">
            <w:pPr>
              <w:rPr>
                <w:rFonts w:eastAsia="Calibri"/>
              </w:rPr>
            </w:pPr>
          </w:p>
          <w:p w14:paraId="0684D235" w14:textId="77777777" w:rsidR="00EB2334" w:rsidRPr="005D60DC" w:rsidRDefault="00EB2334" w:rsidP="007332EC">
            <w:pPr>
              <w:ind w:left="2880"/>
              <w:rPr>
                <w:rFonts w:eastAsia="Calibri"/>
              </w:rPr>
            </w:pPr>
            <w:r w:rsidRPr="005D60DC">
              <w:rPr>
                <w:rFonts w:eastAsia="Calibri"/>
              </w:rPr>
              <w:t>Plaintiff,</w:t>
            </w:r>
          </w:p>
          <w:p w14:paraId="3080E13E" w14:textId="77777777" w:rsidR="00EB2334" w:rsidRPr="005D60DC" w:rsidRDefault="00EB2334" w:rsidP="007332EC">
            <w:pPr>
              <w:rPr>
                <w:rFonts w:eastAsia="Calibri"/>
              </w:rPr>
            </w:pPr>
          </w:p>
          <w:p w14:paraId="5B4DE4E2" w14:textId="77777777" w:rsidR="00EB2334" w:rsidRPr="005D60DC" w:rsidRDefault="00EB2334" w:rsidP="007332EC">
            <w:pPr>
              <w:rPr>
                <w:rFonts w:eastAsia="Calibri"/>
              </w:rPr>
            </w:pPr>
            <w:proofErr w:type="gramStart"/>
            <w:r w:rsidRPr="005D60DC">
              <w:rPr>
                <w:rFonts w:eastAsia="Calibri"/>
              </w:rPr>
              <w:t>vs</w:t>
            </w:r>
            <w:proofErr w:type="gramEnd"/>
            <w:r w:rsidRPr="005D60DC">
              <w:rPr>
                <w:rFonts w:eastAsia="Calibri"/>
              </w:rPr>
              <w:t>.</w:t>
            </w:r>
          </w:p>
          <w:p w14:paraId="56529861" w14:textId="77777777" w:rsidR="00EB2334" w:rsidRPr="005D60DC" w:rsidRDefault="00EB2334" w:rsidP="007332EC">
            <w:pPr>
              <w:rPr>
                <w:rFonts w:eastAsia="Calibri"/>
              </w:rPr>
            </w:pPr>
          </w:p>
          <w:p w14:paraId="39AC98C1" w14:textId="77777777" w:rsidR="00EB2334" w:rsidRPr="005D60DC" w:rsidRDefault="00D67EEC" w:rsidP="007332EC">
            <w:pPr>
              <w:rPr>
                <w:rFonts w:eastAsia="Calibri"/>
              </w:rPr>
            </w:pPr>
            <w:r>
              <w:rPr>
                <w:rFonts w:eastAsia="Calibri"/>
              </w:rPr>
              <w:t xml:space="preserve">Elizabeth Lime, and </w:t>
            </w:r>
            <w:proofErr w:type="spellStart"/>
            <w:r>
              <w:rPr>
                <w:rFonts w:eastAsia="Calibri"/>
              </w:rPr>
              <w:t>TinyTV</w:t>
            </w:r>
            <w:proofErr w:type="spellEnd"/>
            <w:r>
              <w:rPr>
                <w:rFonts w:eastAsia="Calibri"/>
              </w:rPr>
              <w:t>, INC.</w:t>
            </w:r>
          </w:p>
          <w:p w14:paraId="2D6D03F3" w14:textId="77777777" w:rsidR="00EB2334" w:rsidRPr="005D60DC" w:rsidRDefault="00EB2334" w:rsidP="007332EC">
            <w:pPr>
              <w:rPr>
                <w:rFonts w:eastAsia="Calibri"/>
              </w:rPr>
            </w:pPr>
          </w:p>
          <w:p w14:paraId="4A3D40F7" w14:textId="77777777" w:rsidR="00EB2334" w:rsidRPr="005D60DC" w:rsidRDefault="00EB2334" w:rsidP="007332EC">
            <w:pPr>
              <w:ind w:left="2880"/>
              <w:rPr>
                <w:rFonts w:eastAsia="Calibri"/>
              </w:rPr>
            </w:pPr>
            <w:r w:rsidRPr="005D60DC">
              <w:rPr>
                <w:rFonts w:eastAsia="Calibri"/>
              </w:rPr>
              <w:t>Defendants.</w:t>
            </w:r>
          </w:p>
          <w:p w14:paraId="2AF22CB5" w14:textId="77777777" w:rsidR="00EB2334" w:rsidRPr="005D60DC" w:rsidRDefault="00EB2334" w:rsidP="007332EC">
            <w:pPr>
              <w:rPr>
                <w:rFonts w:eastAsia="Calibri"/>
              </w:rPr>
            </w:pPr>
          </w:p>
        </w:tc>
        <w:tc>
          <w:tcPr>
            <w:tcW w:w="4788" w:type="dxa"/>
            <w:vAlign w:val="center"/>
          </w:tcPr>
          <w:p w14:paraId="27A9E197" w14:textId="77777777" w:rsidR="00EB2334" w:rsidRPr="005D60DC" w:rsidRDefault="00EB2334" w:rsidP="007332EC">
            <w:pPr>
              <w:jc w:val="right"/>
              <w:rPr>
                <w:rFonts w:eastAsia="Calibri"/>
              </w:rPr>
            </w:pPr>
            <w:r w:rsidRPr="005D60DC">
              <w:rPr>
                <w:rFonts w:eastAsia="Calibri"/>
              </w:rPr>
              <w:t>Court File No. 27-CV-12-1234</w:t>
            </w:r>
          </w:p>
          <w:p w14:paraId="3B401C6C" w14:textId="77777777" w:rsidR="00EB2334" w:rsidRPr="005D60DC" w:rsidRDefault="00EB2334" w:rsidP="007332EC">
            <w:pPr>
              <w:jc w:val="right"/>
              <w:rPr>
                <w:rFonts w:eastAsia="Calibri"/>
              </w:rPr>
            </w:pPr>
          </w:p>
          <w:p w14:paraId="258F286A" w14:textId="77777777" w:rsidR="00EB2334" w:rsidRPr="005D60DC" w:rsidRDefault="00EB2334" w:rsidP="007332EC">
            <w:pPr>
              <w:jc w:val="right"/>
              <w:rPr>
                <w:rFonts w:eastAsia="Calibri"/>
                <w:b/>
              </w:rPr>
            </w:pPr>
            <w:r w:rsidRPr="005D60DC">
              <w:rPr>
                <w:rFonts w:eastAsia="Calibri"/>
                <w:b/>
              </w:rPr>
              <w:t>PLAINTIFF’S MEMORANDUM</w:t>
            </w:r>
          </w:p>
          <w:p w14:paraId="000E216F" w14:textId="77777777" w:rsidR="00EB2334" w:rsidRPr="005D60DC" w:rsidRDefault="00EB2334" w:rsidP="007332EC">
            <w:pPr>
              <w:jc w:val="right"/>
              <w:rPr>
                <w:rFonts w:eastAsia="Calibri"/>
                <w:b/>
              </w:rPr>
            </w:pPr>
            <w:r w:rsidRPr="005D60DC">
              <w:rPr>
                <w:rFonts w:eastAsia="Calibri"/>
                <w:b/>
              </w:rPr>
              <w:t>IN OPPOSITION TO DEFENDANT’S</w:t>
            </w:r>
          </w:p>
          <w:p w14:paraId="39255845" w14:textId="77777777" w:rsidR="00EB2334" w:rsidRPr="005D60DC" w:rsidRDefault="00EB2334" w:rsidP="00EB2334">
            <w:pPr>
              <w:jc w:val="right"/>
              <w:rPr>
                <w:rFonts w:eastAsia="Calibri"/>
                <w:b/>
              </w:rPr>
            </w:pPr>
            <w:r w:rsidRPr="005D60DC">
              <w:rPr>
                <w:rFonts w:eastAsia="Calibri"/>
                <w:b/>
              </w:rPr>
              <w:t>MOTION TO DISMISS</w:t>
            </w:r>
          </w:p>
          <w:p w14:paraId="68B82AB4" w14:textId="77777777" w:rsidR="00EB2334" w:rsidRPr="005D60DC" w:rsidRDefault="00EB2334" w:rsidP="00EB2334">
            <w:pPr>
              <w:jc w:val="right"/>
              <w:rPr>
                <w:rFonts w:eastAsia="Calibri"/>
                <w:b/>
              </w:rPr>
            </w:pPr>
          </w:p>
          <w:p w14:paraId="7C4B287C" w14:textId="77777777" w:rsidR="00EB2334" w:rsidRPr="005D60DC" w:rsidRDefault="00EB2334" w:rsidP="00EB2334">
            <w:pPr>
              <w:jc w:val="right"/>
              <w:rPr>
                <w:rFonts w:eastAsia="Calibri"/>
                <w:b/>
              </w:rPr>
            </w:pPr>
          </w:p>
          <w:p w14:paraId="6A5D08DE" w14:textId="77777777" w:rsidR="00EB2334" w:rsidRPr="005D60DC" w:rsidRDefault="00EB2334" w:rsidP="00EB2334">
            <w:pPr>
              <w:jc w:val="right"/>
              <w:rPr>
                <w:rFonts w:eastAsia="Calibri"/>
                <w:b/>
              </w:rPr>
            </w:pPr>
          </w:p>
          <w:p w14:paraId="0E2A152D" w14:textId="77777777" w:rsidR="00EB2334" w:rsidRPr="005D60DC" w:rsidRDefault="00EB2334" w:rsidP="00EB2334">
            <w:pPr>
              <w:rPr>
                <w:rFonts w:eastAsia="Calibri"/>
                <w:b/>
              </w:rPr>
            </w:pPr>
          </w:p>
        </w:tc>
      </w:tr>
    </w:tbl>
    <w:p w14:paraId="31CA0097" w14:textId="77777777" w:rsidR="00744693" w:rsidRPr="005D60DC" w:rsidRDefault="00EB2334" w:rsidP="008C7B36">
      <w:pPr>
        <w:spacing w:line="240" w:lineRule="auto"/>
        <w:ind w:left="107"/>
        <w:rPr>
          <w:rFonts w:eastAsia="Times New Roman" w:cs="Times New Roman"/>
          <w:sz w:val="24"/>
          <w:szCs w:val="24"/>
        </w:rPr>
      </w:pPr>
      <w:r w:rsidRPr="005D60DC">
        <w:rPr>
          <w:rFonts w:eastAsia="Times New Roman" w:cs="Times New Roman"/>
          <w:sz w:val="24"/>
          <w:szCs w:val="24"/>
        </w:rPr>
        <w:t> </w:t>
      </w:r>
    </w:p>
    <w:p w14:paraId="2D856BDC" w14:textId="77777777" w:rsidR="0054182C" w:rsidRPr="005D60DC" w:rsidRDefault="00C92A98" w:rsidP="0047773D">
      <w:pPr>
        <w:pStyle w:val="BodyText"/>
        <w:spacing w:after="0" w:line="480" w:lineRule="auto"/>
        <w:contextualSpacing/>
        <w:jc w:val="center"/>
        <w:rPr>
          <w:rFonts w:ascii="Times New Roman" w:hAnsi="Times New Roman"/>
          <w:b/>
          <w:color w:val="333333"/>
          <w:sz w:val="24"/>
          <w:szCs w:val="24"/>
        </w:rPr>
      </w:pPr>
      <w:r>
        <w:rPr>
          <w:rFonts w:ascii="Times New Roman" w:hAnsi="Times New Roman"/>
          <w:b/>
          <w:color w:val="333333"/>
          <w:sz w:val="24"/>
          <w:szCs w:val="24"/>
        </w:rPr>
        <w:t>INTRODUCTION</w:t>
      </w:r>
    </w:p>
    <w:p w14:paraId="7287A9F1" w14:textId="77777777" w:rsidR="00956DF3" w:rsidRDefault="00744693" w:rsidP="004678AC">
      <w:pPr>
        <w:pStyle w:val="BodyText"/>
        <w:spacing w:after="0" w:line="480" w:lineRule="auto"/>
        <w:ind w:left="0" w:firstLine="720"/>
        <w:contextualSpacing/>
        <w:rPr>
          <w:rFonts w:ascii="Times New Roman" w:eastAsiaTheme="minorHAnsi" w:hAnsi="Times New Roman"/>
          <w:spacing w:val="0"/>
          <w:sz w:val="24"/>
          <w:szCs w:val="24"/>
        </w:rPr>
      </w:pPr>
      <w:r w:rsidRPr="005D60DC">
        <w:rPr>
          <w:rFonts w:ascii="Times New Roman" w:hAnsi="Times New Roman"/>
          <w:sz w:val="24"/>
          <w:szCs w:val="24"/>
        </w:rPr>
        <w:t xml:space="preserve">This </w:t>
      </w:r>
      <w:r w:rsidR="004B262F" w:rsidRPr="005D60DC">
        <w:rPr>
          <w:rFonts w:ascii="Times New Roman" w:hAnsi="Times New Roman"/>
          <w:sz w:val="24"/>
          <w:szCs w:val="24"/>
        </w:rPr>
        <w:t>case is in regards to a television company who hired a screenwriter</w:t>
      </w:r>
      <w:r w:rsidR="008C7B36" w:rsidRPr="005D60DC">
        <w:rPr>
          <w:rFonts w:ascii="Times New Roman" w:hAnsi="Times New Roman"/>
          <w:sz w:val="24"/>
          <w:szCs w:val="24"/>
        </w:rPr>
        <w:t xml:space="preserve"> to wri</w:t>
      </w:r>
      <w:r w:rsidR="004B262F" w:rsidRPr="005D60DC">
        <w:rPr>
          <w:rFonts w:ascii="Times New Roman" w:hAnsi="Times New Roman"/>
          <w:sz w:val="24"/>
          <w:szCs w:val="24"/>
        </w:rPr>
        <w:t xml:space="preserve">te </w:t>
      </w:r>
      <w:r w:rsidR="00A11D7D">
        <w:rPr>
          <w:rFonts w:ascii="Times New Roman" w:hAnsi="Times New Roman"/>
          <w:sz w:val="24"/>
          <w:szCs w:val="24"/>
        </w:rPr>
        <w:t xml:space="preserve">a screenplay for the </w:t>
      </w:r>
      <w:r w:rsidR="004B262F" w:rsidRPr="005D60DC">
        <w:rPr>
          <w:rFonts w:ascii="Times New Roman" w:hAnsi="Times New Roman"/>
          <w:sz w:val="24"/>
          <w:szCs w:val="24"/>
        </w:rPr>
        <w:t>company. Ultimately</w:t>
      </w:r>
      <w:r w:rsidR="005131FA" w:rsidRPr="005D60DC">
        <w:rPr>
          <w:rFonts w:ascii="Times New Roman" w:hAnsi="Times New Roman"/>
          <w:sz w:val="24"/>
          <w:szCs w:val="24"/>
        </w:rPr>
        <w:t>,</w:t>
      </w:r>
      <w:r w:rsidR="004B262F" w:rsidRPr="005D60DC">
        <w:rPr>
          <w:rFonts w:ascii="Times New Roman" w:hAnsi="Times New Roman"/>
          <w:sz w:val="24"/>
          <w:szCs w:val="24"/>
        </w:rPr>
        <w:t xml:space="preserve"> the screenwriter</w:t>
      </w:r>
      <w:r w:rsidR="008C7B36" w:rsidRPr="005D60DC">
        <w:rPr>
          <w:rFonts w:ascii="Times New Roman" w:hAnsi="Times New Roman"/>
          <w:sz w:val="24"/>
          <w:szCs w:val="24"/>
        </w:rPr>
        <w:t xml:space="preserve"> </w:t>
      </w:r>
      <w:r w:rsidR="00956DF3">
        <w:rPr>
          <w:rFonts w:ascii="Times New Roman" w:hAnsi="Times New Roman"/>
          <w:sz w:val="24"/>
          <w:szCs w:val="24"/>
        </w:rPr>
        <w:t xml:space="preserve">unlawfully appropriated </w:t>
      </w:r>
      <w:r w:rsidR="008C7B36" w:rsidRPr="005D60DC">
        <w:rPr>
          <w:rFonts w:ascii="Times New Roman" w:hAnsi="Times New Roman"/>
          <w:sz w:val="24"/>
          <w:szCs w:val="24"/>
        </w:rPr>
        <w:t>the screenplay for the profit of herself and a</w:t>
      </w:r>
      <w:r w:rsidR="004B262F" w:rsidRPr="005D60DC">
        <w:rPr>
          <w:rFonts w:ascii="Times New Roman" w:hAnsi="Times New Roman"/>
          <w:sz w:val="24"/>
          <w:szCs w:val="24"/>
        </w:rPr>
        <w:t>nother television company</w:t>
      </w:r>
      <w:r w:rsidR="008C7B36" w:rsidRPr="005D60DC">
        <w:rPr>
          <w:rFonts w:ascii="Times New Roman" w:hAnsi="Times New Roman"/>
          <w:sz w:val="24"/>
          <w:szCs w:val="24"/>
        </w:rPr>
        <w:t xml:space="preserve">. Defendant Elizabeth Lime and </w:t>
      </w:r>
      <w:proofErr w:type="spellStart"/>
      <w:r w:rsidR="008C7B36" w:rsidRPr="005D60DC">
        <w:rPr>
          <w:rFonts w:ascii="Times New Roman" w:hAnsi="Times New Roman"/>
          <w:sz w:val="24"/>
          <w:szCs w:val="24"/>
        </w:rPr>
        <w:t>TinyTV</w:t>
      </w:r>
      <w:proofErr w:type="spellEnd"/>
      <w:r w:rsidR="008C7B36" w:rsidRPr="005D60DC">
        <w:rPr>
          <w:rFonts w:ascii="Times New Roman" w:hAnsi="Times New Roman"/>
          <w:sz w:val="24"/>
          <w:szCs w:val="24"/>
        </w:rPr>
        <w:t>, Inc. copied in substantial part a screenplay that Lime had been hired to write for Plaintiff OGS TV, Inc</w:t>
      </w:r>
      <w:r w:rsidR="00D1723E" w:rsidRPr="005D60DC">
        <w:rPr>
          <w:rFonts w:ascii="Times New Roman" w:hAnsi="Times New Roman"/>
          <w:sz w:val="24"/>
          <w:szCs w:val="24"/>
        </w:rPr>
        <w:t xml:space="preserve">. The screenplay had been OGS’s property pursuant to the federal Copyright Act of 1976, as amended, </w:t>
      </w:r>
      <w:bookmarkStart w:id="1" w:name="CITRUS_BOOKMARK1000000001"/>
      <w:r w:rsidR="00D1723E" w:rsidRPr="00551F7A">
        <w:rPr>
          <w:rFonts w:ascii="Times New Roman" w:hAnsi="Times New Roman"/>
          <w:sz w:val="24"/>
          <w:szCs w:val="24"/>
        </w:rPr>
        <w:t>17 U.S.C. §§ 101 et seq</w:t>
      </w:r>
      <w:bookmarkEnd w:id="1"/>
      <w:r w:rsidR="00D1723E" w:rsidRPr="005D60DC">
        <w:rPr>
          <w:rFonts w:ascii="Times New Roman" w:hAnsi="Times New Roman"/>
          <w:sz w:val="24"/>
          <w:szCs w:val="24"/>
        </w:rPr>
        <w:t xml:space="preserve">. These wrongful copyright actions by Lime and </w:t>
      </w:r>
      <w:proofErr w:type="spellStart"/>
      <w:r w:rsidR="00D1723E" w:rsidRPr="005D60DC">
        <w:rPr>
          <w:rFonts w:ascii="Times New Roman" w:hAnsi="Times New Roman"/>
          <w:sz w:val="24"/>
          <w:szCs w:val="24"/>
        </w:rPr>
        <w:t>TinyTV</w:t>
      </w:r>
      <w:proofErr w:type="spellEnd"/>
      <w:r w:rsidR="00D1723E" w:rsidRPr="005D60DC">
        <w:rPr>
          <w:rFonts w:ascii="Times New Roman" w:hAnsi="Times New Roman"/>
          <w:sz w:val="24"/>
          <w:szCs w:val="24"/>
        </w:rPr>
        <w:t xml:space="preserve">, Inc. caused damages for OGS to the amount of $86,000. Plaintiff’s complaint states a cause of action under the </w:t>
      </w:r>
      <w:r w:rsidR="0046432F" w:rsidRPr="005D60DC">
        <w:rPr>
          <w:rFonts w:ascii="Times New Roman" w:hAnsi="Times New Roman"/>
          <w:sz w:val="24"/>
          <w:szCs w:val="24"/>
        </w:rPr>
        <w:t xml:space="preserve">federal Copyright Act of 1976. </w:t>
      </w:r>
      <w:r w:rsidR="00D1723E" w:rsidRPr="005D60DC">
        <w:rPr>
          <w:rFonts w:ascii="Times New Roman" w:hAnsi="Times New Roman"/>
          <w:sz w:val="24"/>
          <w:szCs w:val="24"/>
        </w:rPr>
        <w:t>Therefore, Defendant’s mot</w:t>
      </w:r>
      <w:r w:rsidR="0046432F" w:rsidRPr="005D60DC">
        <w:rPr>
          <w:rFonts w:ascii="Times New Roman" w:hAnsi="Times New Roman"/>
          <w:sz w:val="24"/>
          <w:szCs w:val="24"/>
        </w:rPr>
        <w:t>ion to dismiss should be denied</w:t>
      </w:r>
      <w:r w:rsidR="00956DF3">
        <w:rPr>
          <w:rFonts w:ascii="Times New Roman" w:hAnsi="Times New Roman"/>
          <w:sz w:val="24"/>
          <w:szCs w:val="24"/>
        </w:rPr>
        <w:t>.</w:t>
      </w:r>
    </w:p>
    <w:p w14:paraId="598F6647" w14:textId="77777777" w:rsidR="00956DF3" w:rsidRDefault="00956DF3" w:rsidP="00956DF3">
      <w:pPr>
        <w:pStyle w:val="BodyText"/>
        <w:spacing w:after="0" w:line="480" w:lineRule="auto"/>
        <w:ind w:left="0"/>
        <w:contextualSpacing/>
        <w:rPr>
          <w:rFonts w:ascii="Times New Roman" w:eastAsiaTheme="minorHAnsi" w:hAnsi="Times New Roman"/>
          <w:spacing w:val="0"/>
          <w:sz w:val="24"/>
          <w:szCs w:val="24"/>
        </w:rPr>
      </w:pPr>
    </w:p>
    <w:p w14:paraId="6D53A900" w14:textId="77777777" w:rsidR="0054182C" w:rsidRPr="005D60DC" w:rsidRDefault="00C92A98" w:rsidP="00956DF3">
      <w:pPr>
        <w:pStyle w:val="BodyText"/>
        <w:spacing w:after="0" w:line="480" w:lineRule="auto"/>
        <w:ind w:left="0"/>
        <w:contextualSpacing/>
        <w:jc w:val="center"/>
        <w:rPr>
          <w:rFonts w:ascii="Times New Roman" w:hAnsi="Times New Roman"/>
          <w:b/>
          <w:color w:val="333333"/>
          <w:sz w:val="24"/>
          <w:szCs w:val="24"/>
        </w:rPr>
      </w:pPr>
      <w:r>
        <w:rPr>
          <w:rFonts w:ascii="Times New Roman" w:hAnsi="Times New Roman"/>
          <w:b/>
          <w:color w:val="333333"/>
          <w:sz w:val="24"/>
          <w:szCs w:val="24"/>
        </w:rPr>
        <w:t>FACTUAL BACKGROUND</w:t>
      </w:r>
    </w:p>
    <w:p w14:paraId="3D8764D4" w14:textId="77777777" w:rsidR="009749E2" w:rsidRDefault="00782EA6" w:rsidP="009749E2">
      <w:pPr>
        <w:pStyle w:val="Default"/>
        <w:spacing w:line="480" w:lineRule="auto"/>
        <w:ind w:firstLine="720"/>
        <w:contextualSpacing/>
      </w:pPr>
      <w:r w:rsidRPr="005D60DC">
        <w:t xml:space="preserve">OGS TV Inc. </w:t>
      </w:r>
      <w:r w:rsidR="0054182C" w:rsidRPr="005D60DC">
        <w:t>brings this action under the federal Copyright Act of 1976, as amende</w:t>
      </w:r>
      <w:r w:rsidR="0047773D" w:rsidRPr="005D60DC">
        <w:t xml:space="preserve">d, </w:t>
      </w:r>
      <w:bookmarkStart w:id="2" w:name="CITRUS_BOOKMARK1000000002"/>
      <w:r w:rsidR="0047773D" w:rsidRPr="00551F7A">
        <w:t xml:space="preserve">17 U.S.C. §§ 101 </w:t>
      </w:r>
      <w:proofErr w:type="gramStart"/>
      <w:r w:rsidR="0047773D" w:rsidRPr="00551F7A">
        <w:t>et</w:t>
      </w:r>
      <w:proofErr w:type="gramEnd"/>
      <w:r w:rsidR="0047773D" w:rsidRPr="00551F7A">
        <w:t xml:space="preserve"> seq</w:t>
      </w:r>
      <w:bookmarkEnd w:id="2"/>
      <w:r w:rsidR="0047773D" w:rsidRPr="005D60DC">
        <w:t>. Both parties</w:t>
      </w:r>
      <w:r w:rsidR="00AA6C1C">
        <w:t xml:space="preserve"> </w:t>
      </w:r>
      <w:r w:rsidR="0047773D" w:rsidRPr="005D60DC">
        <w:t>agree that the</w:t>
      </w:r>
      <w:r w:rsidR="0054182C" w:rsidRPr="005D60DC">
        <w:t xml:space="preserve"> court has jurisdiction over actions relating to copyrights pursuant to </w:t>
      </w:r>
      <w:bookmarkStart w:id="3" w:name="CITRUS_BOOKMARK1000000003"/>
      <w:r w:rsidR="0054182C" w:rsidRPr="00551F7A">
        <w:t xml:space="preserve">28 U.S.C. § 1338(a). </w:t>
      </w:r>
      <w:r w:rsidR="00683643" w:rsidRPr="00551F7A">
        <w:t>(</w:t>
      </w:r>
      <w:proofErr w:type="spellStart"/>
      <w:r w:rsidR="00683643" w:rsidRPr="00551F7A">
        <w:t>Compl</w:t>
      </w:r>
      <w:proofErr w:type="spellEnd"/>
      <w:r w:rsidR="00683643" w:rsidRPr="00551F7A">
        <w:t>. ¶1.)</w:t>
      </w:r>
      <w:bookmarkEnd w:id="3"/>
      <w:r w:rsidR="00683643" w:rsidRPr="005D60DC">
        <w:t xml:space="preserve"> </w:t>
      </w:r>
      <w:r w:rsidRPr="005D60DC">
        <w:t xml:space="preserve">OGS TV Inc. </w:t>
      </w:r>
      <w:r w:rsidR="0054182C" w:rsidRPr="005D60DC">
        <w:t xml:space="preserve">has created, produced, and aired an original television series entitled </w:t>
      </w:r>
      <w:r w:rsidR="0054182C" w:rsidRPr="005D60DC">
        <w:rPr>
          <w:i/>
        </w:rPr>
        <w:t>Lawless Love</w:t>
      </w:r>
      <w:r w:rsidR="00F33B27">
        <w:t xml:space="preserve">. </w:t>
      </w:r>
      <w:r w:rsidR="006C52AB">
        <w:t>(</w:t>
      </w:r>
      <w:bookmarkStart w:id="4" w:name="CITRUS_BOOKMARK1000000004"/>
      <w:r w:rsidR="006C52AB" w:rsidRPr="00551F7A">
        <w:rPr>
          <w:i/>
        </w:rPr>
        <w:t>Id</w:t>
      </w:r>
      <w:bookmarkEnd w:id="4"/>
      <w:r w:rsidR="006E460C" w:rsidRPr="006C52AB">
        <w:rPr>
          <w:i/>
        </w:rPr>
        <w:t>.</w:t>
      </w:r>
      <w:r w:rsidR="00956DF3">
        <w:t xml:space="preserve">) </w:t>
      </w:r>
      <w:r w:rsidR="0054182C" w:rsidRPr="005D60DC">
        <w:t xml:space="preserve">On March 27, 2010, </w:t>
      </w:r>
      <w:r w:rsidRPr="005D60DC">
        <w:t xml:space="preserve">OGS </w:t>
      </w:r>
      <w:r w:rsidRPr="005D60DC">
        <w:lastRenderedPageBreak/>
        <w:t xml:space="preserve">contacted </w:t>
      </w:r>
      <w:r w:rsidR="00AC42AF">
        <w:t xml:space="preserve">Defendant </w:t>
      </w:r>
      <w:r w:rsidR="0054182C" w:rsidRPr="005D60DC">
        <w:t>Lime</w:t>
      </w:r>
      <w:r w:rsidR="00BB3391" w:rsidRPr="005D60DC">
        <w:t xml:space="preserve">, a well-known </w:t>
      </w:r>
      <w:r w:rsidR="00CB15C0">
        <w:t>television writer</w:t>
      </w:r>
      <w:r w:rsidR="00BB3391" w:rsidRPr="00012613">
        <w:t xml:space="preserve">, to </w:t>
      </w:r>
      <w:r w:rsidR="0054182C" w:rsidRPr="00012613">
        <w:t xml:space="preserve">commission from her a screenplay for one episode of </w:t>
      </w:r>
      <w:r w:rsidR="0054182C" w:rsidRPr="00012613">
        <w:rPr>
          <w:i/>
        </w:rPr>
        <w:t>Lawless Love</w:t>
      </w:r>
      <w:r w:rsidR="0054182C" w:rsidRPr="00012613">
        <w:t xml:space="preserve">. </w:t>
      </w:r>
      <w:r w:rsidR="006C52AB" w:rsidRPr="006C52AB">
        <w:t>(</w:t>
      </w:r>
      <w:bookmarkStart w:id="5" w:name="CITRUS_BOOKMARK1000000006"/>
      <w:r w:rsidR="006C52AB" w:rsidRPr="00551F7A">
        <w:rPr>
          <w:i/>
        </w:rPr>
        <w:t>Id</w:t>
      </w:r>
      <w:bookmarkEnd w:id="5"/>
      <w:r w:rsidR="006C52AB" w:rsidRPr="006C52AB">
        <w:rPr>
          <w:i/>
        </w:rPr>
        <w:t>.</w:t>
      </w:r>
      <w:r w:rsidR="000363B1">
        <w:t xml:space="preserve">) </w:t>
      </w:r>
    </w:p>
    <w:p w14:paraId="0E33EE5D" w14:textId="77777777" w:rsidR="00E91C45" w:rsidRPr="005D60DC" w:rsidRDefault="0054182C" w:rsidP="009749E2">
      <w:pPr>
        <w:pStyle w:val="Default"/>
        <w:spacing w:line="480" w:lineRule="auto"/>
        <w:ind w:firstLine="720"/>
        <w:contextualSpacing/>
      </w:pPr>
      <w:proofErr w:type="gramStart"/>
      <w:r w:rsidRPr="00012613">
        <w:t>On March 27, 2010, Dave Nelson</w:t>
      </w:r>
      <w:r w:rsidR="00782EA6" w:rsidRPr="00012613">
        <w:t xml:space="preserve">, the executive producer of </w:t>
      </w:r>
      <w:r w:rsidR="00782EA6" w:rsidRPr="00012613">
        <w:rPr>
          <w:i/>
        </w:rPr>
        <w:t>Lawless Love</w:t>
      </w:r>
      <w:r w:rsidR="00782EA6" w:rsidRPr="00012613">
        <w:t xml:space="preserve">, met with </w:t>
      </w:r>
      <w:r w:rsidR="000363B1">
        <w:t>Defendant</w:t>
      </w:r>
      <w:r w:rsidRPr="00012613">
        <w:t xml:space="preserve"> in</w:t>
      </w:r>
      <w:r w:rsidRPr="005D60DC">
        <w:t xml:space="preserve"> the office of </w:t>
      </w:r>
      <w:r w:rsidR="00782EA6" w:rsidRPr="005D60DC">
        <w:t>OGS</w:t>
      </w:r>
      <w:r w:rsidRPr="005D60DC">
        <w:t>.</w:t>
      </w:r>
      <w:proofErr w:type="gramEnd"/>
      <w:r w:rsidR="00012613">
        <w:t xml:space="preserve"> </w:t>
      </w:r>
      <w:r w:rsidR="006C52AB" w:rsidRPr="006C52AB">
        <w:t>(</w:t>
      </w:r>
      <w:bookmarkStart w:id="6" w:name="CITRUS_BOOKMARK1000000008"/>
      <w:r w:rsidR="006C52AB" w:rsidRPr="00551F7A">
        <w:rPr>
          <w:i/>
        </w:rPr>
        <w:t>Id</w:t>
      </w:r>
      <w:bookmarkEnd w:id="6"/>
      <w:r w:rsidR="00956DF3">
        <w:rPr>
          <w:i/>
        </w:rPr>
        <w:t>.</w:t>
      </w:r>
      <w:r w:rsidR="006C52AB" w:rsidRPr="006C52AB">
        <w:t xml:space="preserve">) </w:t>
      </w:r>
      <w:r w:rsidRPr="005D60DC">
        <w:t>During the meeting, Nelson and</w:t>
      </w:r>
      <w:r w:rsidR="000363B1" w:rsidRPr="000363B1">
        <w:t xml:space="preserve"> </w:t>
      </w:r>
      <w:r w:rsidR="000363B1">
        <w:t>Defendant</w:t>
      </w:r>
      <w:r w:rsidR="000363B1" w:rsidRPr="005D60DC">
        <w:t xml:space="preserve"> </w:t>
      </w:r>
      <w:r w:rsidRPr="005D60DC">
        <w:t xml:space="preserve">agreed orally </w:t>
      </w:r>
      <w:r w:rsidR="00782EA6" w:rsidRPr="005D60DC">
        <w:t>that</w:t>
      </w:r>
      <w:r w:rsidR="000363B1" w:rsidRPr="000363B1">
        <w:t xml:space="preserve"> </w:t>
      </w:r>
      <w:r w:rsidR="000363B1">
        <w:t>Defendant</w:t>
      </w:r>
      <w:r w:rsidR="000363B1" w:rsidRPr="005D60DC">
        <w:t xml:space="preserve"> </w:t>
      </w:r>
      <w:r w:rsidRPr="005D60DC">
        <w:t xml:space="preserve">would prepare a screenplay for </w:t>
      </w:r>
      <w:r w:rsidRPr="005D60DC">
        <w:rPr>
          <w:i/>
        </w:rPr>
        <w:t xml:space="preserve">Lawless Love </w:t>
      </w:r>
      <w:r w:rsidRPr="005D60DC">
        <w:t xml:space="preserve">by April 1, 2010. </w:t>
      </w:r>
      <w:r w:rsidR="006C52AB" w:rsidRPr="006C52AB">
        <w:t>(</w:t>
      </w:r>
      <w:bookmarkStart w:id="7" w:name="CITRUS_BOOKMARK1000000009"/>
      <w:r w:rsidR="006C52AB" w:rsidRPr="00551F7A">
        <w:rPr>
          <w:i/>
        </w:rPr>
        <w:t>Id</w:t>
      </w:r>
      <w:bookmarkEnd w:id="7"/>
      <w:r w:rsidR="006C52AB" w:rsidRPr="006C52AB">
        <w:rPr>
          <w:i/>
        </w:rPr>
        <w:t>.</w:t>
      </w:r>
      <w:r w:rsidR="006C52AB" w:rsidRPr="006C52AB">
        <w:t xml:space="preserve">) </w:t>
      </w:r>
      <w:r w:rsidR="00782EA6" w:rsidRPr="005D60DC">
        <w:t xml:space="preserve">Nelson told </w:t>
      </w:r>
      <w:r w:rsidR="000363B1">
        <w:t>Defendant</w:t>
      </w:r>
      <w:r w:rsidRPr="005D60DC">
        <w:t xml:space="preserve"> t</w:t>
      </w:r>
      <w:r w:rsidR="00AF02A9">
        <w:t xml:space="preserve">hat he wanted to see her </w:t>
      </w:r>
      <w:r w:rsidRPr="005D60DC">
        <w:t xml:space="preserve">approach to </w:t>
      </w:r>
      <w:r w:rsidR="00AF02A9">
        <w:t xml:space="preserve">aspects of </w:t>
      </w:r>
      <w:r w:rsidR="00782EA6" w:rsidRPr="005D60DC">
        <w:rPr>
          <w:i/>
        </w:rPr>
        <w:t xml:space="preserve">Lawless Love </w:t>
      </w:r>
      <w:r w:rsidR="00782EA6" w:rsidRPr="005D60DC">
        <w:t xml:space="preserve">and </w:t>
      </w:r>
      <w:r w:rsidRPr="005D60DC">
        <w:t xml:space="preserve">agreed </w:t>
      </w:r>
      <w:r w:rsidR="00782EA6" w:rsidRPr="005D60DC">
        <w:t xml:space="preserve">that </w:t>
      </w:r>
      <w:r w:rsidR="000363B1">
        <w:t>Defendant</w:t>
      </w:r>
      <w:r w:rsidRPr="005D60DC">
        <w:t xml:space="preserve"> wo</w:t>
      </w:r>
      <w:r w:rsidR="00AF02A9">
        <w:t xml:space="preserve">uld be paid $6,000 for writing a </w:t>
      </w:r>
      <w:r w:rsidRPr="005D60DC">
        <w:t>screenplay.</w:t>
      </w:r>
      <w:r w:rsidR="009F2318" w:rsidRPr="005D60DC">
        <w:t xml:space="preserve"> </w:t>
      </w:r>
      <w:r w:rsidR="006C52AB" w:rsidRPr="006C52AB">
        <w:t>(</w:t>
      </w:r>
      <w:bookmarkStart w:id="8" w:name="CITRUS_BOOKMARK1000000010"/>
      <w:r w:rsidR="006C52AB" w:rsidRPr="00551F7A">
        <w:rPr>
          <w:i/>
        </w:rPr>
        <w:t>Id</w:t>
      </w:r>
      <w:bookmarkEnd w:id="8"/>
      <w:r w:rsidR="006C52AB" w:rsidRPr="006C52AB">
        <w:rPr>
          <w:i/>
        </w:rPr>
        <w:t>.</w:t>
      </w:r>
      <w:r w:rsidR="006C52AB" w:rsidRPr="006C52AB">
        <w:t xml:space="preserve">) </w:t>
      </w:r>
      <w:r w:rsidRPr="005D60DC">
        <w:t>Nelson</w:t>
      </w:r>
      <w:r w:rsidR="00782EA6" w:rsidRPr="005D60DC">
        <w:t xml:space="preserve"> told</w:t>
      </w:r>
      <w:r w:rsidRPr="005D60DC">
        <w:t xml:space="preserve"> </w:t>
      </w:r>
      <w:r w:rsidR="000363B1">
        <w:t>Defendant</w:t>
      </w:r>
      <w:r w:rsidRPr="005D60DC">
        <w:t xml:space="preserve"> that, “Your work on the screenplay is for hire. For all intents and purposes, we’ll be the </w:t>
      </w:r>
      <w:proofErr w:type="gramStart"/>
      <w:r w:rsidRPr="005D60DC">
        <w:t>author</w:t>
      </w:r>
      <w:proofErr w:type="gramEnd"/>
      <w:r w:rsidRPr="005D60DC">
        <w:t xml:space="preserve">.” </w:t>
      </w:r>
      <w:r w:rsidR="006C52AB" w:rsidRPr="006C52AB">
        <w:t>(</w:t>
      </w:r>
      <w:bookmarkStart w:id="9" w:name="CITRUS_BOOKMARK1000000011"/>
      <w:r w:rsidR="006C52AB" w:rsidRPr="00551F7A">
        <w:rPr>
          <w:i/>
        </w:rPr>
        <w:t>Id</w:t>
      </w:r>
      <w:bookmarkEnd w:id="9"/>
      <w:r w:rsidR="006C52AB" w:rsidRPr="006C52AB">
        <w:rPr>
          <w:i/>
        </w:rPr>
        <w:t>.</w:t>
      </w:r>
      <w:r w:rsidR="006C52AB" w:rsidRPr="006C52AB">
        <w:t xml:space="preserve">) </w:t>
      </w:r>
      <w:r w:rsidRPr="005D60DC">
        <w:t>Nelson t</w:t>
      </w:r>
      <w:r w:rsidR="00782EA6" w:rsidRPr="005D60DC">
        <w:t xml:space="preserve">hen asked </w:t>
      </w:r>
      <w:r w:rsidR="000363B1">
        <w:t>Defendant</w:t>
      </w:r>
      <w:r w:rsidRPr="005D60DC">
        <w:t xml:space="preserve">, “Do you understand, and is that OK with you?” </w:t>
      </w:r>
      <w:r w:rsidR="006C52AB" w:rsidRPr="006C52AB">
        <w:t>(</w:t>
      </w:r>
      <w:bookmarkStart w:id="10" w:name="CITRUS_BOOKMARK1000000012"/>
      <w:r w:rsidR="006C52AB" w:rsidRPr="00551F7A">
        <w:rPr>
          <w:i/>
        </w:rPr>
        <w:t>Id</w:t>
      </w:r>
      <w:bookmarkEnd w:id="10"/>
      <w:r w:rsidR="006C52AB" w:rsidRPr="006C52AB">
        <w:rPr>
          <w:i/>
        </w:rPr>
        <w:t>.</w:t>
      </w:r>
      <w:r w:rsidR="006C52AB" w:rsidRPr="006C52AB">
        <w:t xml:space="preserve">) </w:t>
      </w:r>
      <w:r w:rsidRPr="005D60DC">
        <w:t>In response to Nelson’s questions</w:t>
      </w:r>
      <w:r w:rsidR="00782EA6" w:rsidRPr="005D60DC">
        <w:t xml:space="preserve">, </w:t>
      </w:r>
      <w:r w:rsidR="000363B1">
        <w:t>Defendant</w:t>
      </w:r>
      <w:r w:rsidRPr="005D60DC">
        <w:t xml:space="preserve"> said, “Yes.”</w:t>
      </w:r>
      <w:r w:rsidR="00782EA6" w:rsidRPr="005D60DC">
        <w:t xml:space="preserve"> </w:t>
      </w:r>
      <w:r w:rsidR="00012613" w:rsidRPr="00012613">
        <w:t>(</w:t>
      </w:r>
      <w:bookmarkStart w:id="11" w:name="CITRUS_BOOKMARK1000000013"/>
      <w:r w:rsidR="006C52AB" w:rsidRPr="00551F7A">
        <w:rPr>
          <w:i/>
        </w:rPr>
        <w:t>Id</w:t>
      </w:r>
      <w:bookmarkEnd w:id="11"/>
      <w:r w:rsidR="006C52AB" w:rsidRPr="006C52AB">
        <w:rPr>
          <w:i/>
        </w:rPr>
        <w:t>.</w:t>
      </w:r>
      <w:r w:rsidR="006C52AB" w:rsidRPr="006C52AB">
        <w:t xml:space="preserve">) </w:t>
      </w:r>
      <w:r w:rsidRPr="005D60DC">
        <w:t>Nelson said that he wanted</w:t>
      </w:r>
      <w:r w:rsidR="000363B1" w:rsidRPr="000363B1">
        <w:t xml:space="preserve"> </w:t>
      </w:r>
      <w:r w:rsidR="000363B1">
        <w:t>Defendant</w:t>
      </w:r>
      <w:r w:rsidR="000363B1" w:rsidRPr="005D60DC">
        <w:t xml:space="preserve"> </w:t>
      </w:r>
      <w:r w:rsidRPr="005D60DC">
        <w:t>to get to work right away, and that she could return to sign the paperwork later.</w:t>
      </w:r>
      <w:r w:rsidR="00782EA6" w:rsidRPr="005D60DC">
        <w:t xml:space="preserve"> </w:t>
      </w:r>
      <w:r w:rsidR="00012613">
        <w:t>(</w:t>
      </w:r>
      <w:proofErr w:type="spellStart"/>
      <w:r w:rsidR="00012613">
        <w:t>Compl</w:t>
      </w:r>
      <w:proofErr w:type="spellEnd"/>
      <w:r w:rsidR="00012613">
        <w:t>. ¶3</w:t>
      </w:r>
      <w:r w:rsidR="00012613" w:rsidRPr="00012613">
        <w:t xml:space="preserve">.) </w:t>
      </w:r>
      <w:r w:rsidR="00782EA6" w:rsidRPr="005D60DC">
        <w:t xml:space="preserve">Lime thanked </w:t>
      </w:r>
      <w:r w:rsidR="000363B1">
        <w:t>Defendant</w:t>
      </w:r>
      <w:r w:rsidRPr="005D60DC">
        <w:t xml:space="preserve"> and said that she wanted to begin writing that day. </w:t>
      </w:r>
      <w:r w:rsidR="006C52AB" w:rsidRPr="006C52AB">
        <w:t>(</w:t>
      </w:r>
      <w:bookmarkStart w:id="12" w:name="CITRUS_BOOKMARK1000000014"/>
      <w:r w:rsidR="006C52AB" w:rsidRPr="00551F7A">
        <w:rPr>
          <w:i/>
        </w:rPr>
        <w:t>Id</w:t>
      </w:r>
      <w:bookmarkEnd w:id="12"/>
      <w:r w:rsidR="006C52AB" w:rsidRPr="006C52AB">
        <w:rPr>
          <w:i/>
        </w:rPr>
        <w:t>.</w:t>
      </w:r>
      <w:r w:rsidR="006C52AB" w:rsidRPr="006C52AB">
        <w:t>)</w:t>
      </w:r>
    </w:p>
    <w:p w14:paraId="794C14FD" w14:textId="77777777" w:rsidR="0054182C" w:rsidRPr="005D60DC" w:rsidRDefault="00782EA6" w:rsidP="00782EA6">
      <w:pPr>
        <w:spacing w:line="480" w:lineRule="auto"/>
        <w:ind w:firstLine="720"/>
        <w:contextualSpacing/>
        <w:rPr>
          <w:rFonts w:ascii="Times New Roman" w:hAnsi="Times New Roman" w:cs="Times New Roman"/>
          <w:sz w:val="24"/>
          <w:szCs w:val="24"/>
        </w:rPr>
      </w:pPr>
      <w:r w:rsidRPr="005D60DC">
        <w:rPr>
          <w:rFonts w:ascii="Times New Roman" w:hAnsi="Times New Roman" w:cs="Times New Roman"/>
          <w:sz w:val="24"/>
          <w:szCs w:val="24"/>
        </w:rPr>
        <w:t xml:space="preserve">On April 1, 2010, </w:t>
      </w:r>
      <w:r w:rsidR="000363B1">
        <w:rPr>
          <w:rFonts w:ascii="Times New Roman" w:hAnsi="Times New Roman" w:cs="Times New Roman"/>
          <w:sz w:val="24"/>
          <w:szCs w:val="24"/>
        </w:rPr>
        <w:t>Defendant</w:t>
      </w:r>
      <w:r w:rsidR="0054182C" w:rsidRPr="005D60DC">
        <w:rPr>
          <w:rFonts w:ascii="Times New Roman" w:hAnsi="Times New Roman" w:cs="Times New Roman"/>
          <w:sz w:val="24"/>
          <w:szCs w:val="24"/>
        </w:rPr>
        <w:t xml:space="preserve"> submitted a screenplay entitled, “Anticipatory Repudiation.”  </w:t>
      </w:r>
      <w:r w:rsidR="006C52AB" w:rsidRPr="006C52AB">
        <w:rPr>
          <w:rFonts w:ascii="Times New Roman" w:hAnsi="Times New Roman" w:cs="Times New Roman"/>
          <w:sz w:val="24"/>
          <w:szCs w:val="24"/>
        </w:rPr>
        <w:t>(</w:t>
      </w:r>
      <w:bookmarkStart w:id="13" w:name="CITRUS_BOOKMARK1000000015"/>
      <w:r w:rsidR="006C52AB" w:rsidRPr="00551F7A">
        <w:rPr>
          <w:rFonts w:ascii="Times New Roman" w:hAnsi="Times New Roman" w:cs="Times New Roman"/>
          <w:i/>
          <w:sz w:val="24"/>
          <w:szCs w:val="24"/>
        </w:rPr>
        <w:t>Id</w:t>
      </w:r>
      <w:bookmarkEnd w:id="13"/>
      <w:r w:rsidR="006C52AB" w:rsidRPr="006C52AB">
        <w:rPr>
          <w:rFonts w:ascii="Times New Roman" w:hAnsi="Times New Roman" w:cs="Times New Roman"/>
          <w:i/>
          <w:sz w:val="24"/>
          <w:szCs w:val="24"/>
        </w:rPr>
        <w:t>.</w:t>
      </w:r>
      <w:r w:rsidR="006C52AB" w:rsidRPr="006C52AB">
        <w:rPr>
          <w:rFonts w:ascii="Times New Roman" w:hAnsi="Times New Roman" w:cs="Times New Roman"/>
          <w:sz w:val="24"/>
          <w:szCs w:val="24"/>
        </w:rPr>
        <w:t xml:space="preserve">) </w:t>
      </w:r>
      <w:r w:rsidR="0054182C" w:rsidRPr="005D60DC">
        <w:rPr>
          <w:rFonts w:ascii="Times New Roman" w:hAnsi="Times New Roman" w:cs="Times New Roman"/>
          <w:sz w:val="24"/>
          <w:szCs w:val="24"/>
        </w:rPr>
        <w:t xml:space="preserve">On April 2, 2010, </w:t>
      </w:r>
      <w:r w:rsidRPr="005D60DC">
        <w:rPr>
          <w:rFonts w:ascii="Times New Roman" w:hAnsi="Times New Roman" w:cs="Times New Roman"/>
          <w:sz w:val="24"/>
          <w:szCs w:val="24"/>
        </w:rPr>
        <w:t>OGS</w:t>
      </w:r>
      <w:r w:rsidR="0054182C" w:rsidRPr="005D60DC">
        <w:rPr>
          <w:rFonts w:ascii="Times New Roman" w:hAnsi="Times New Roman" w:cs="Times New Roman"/>
          <w:sz w:val="24"/>
          <w:szCs w:val="24"/>
        </w:rPr>
        <w:t xml:space="preserve"> received from the Register of Copyrights a certificate of registrati</w:t>
      </w:r>
      <w:r w:rsidRPr="005D60DC">
        <w:rPr>
          <w:rFonts w:ascii="Times New Roman" w:hAnsi="Times New Roman" w:cs="Times New Roman"/>
          <w:sz w:val="24"/>
          <w:szCs w:val="24"/>
        </w:rPr>
        <w:t xml:space="preserve">on dated April 2, 2010, securing the exclusive rights and privileges in and to the television screenplay, “Anticipatory Repudiation.” </w:t>
      </w:r>
      <w:r w:rsidR="0054182C" w:rsidRPr="005D60DC">
        <w:rPr>
          <w:rFonts w:ascii="Times New Roman" w:hAnsi="Times New Roman" w:cs="Times New Roman"/>
          <w:sz w:val="24"/>
          <w:szCs w:val="24"/>
        </w:rPr>
        <w:t xml:space="preserve"> </w:t>
      </w:r>
      <w:r w:rsidR="006C52AB" w:rsidRPr="006C52AB">
        <w:rPr>
          <w:rFonts w:ascii="Times New Roman" w:hAnsi="Times New Roman" w:cs="Times New Roman"/>
          <w:sz w:val="24"/>
          <w:szCs w:val="24"/>
        </w:rPr>
        <w:t>(</w:t>
      </w:r>
      <w:bookmarkStart w:id="14" w:name="CITRUS_BOOKMARK1000000016"/>
      <w:r w:rsidR="006C52AB" w:rsidRPr="00551F7A">
        <w:rPr>
          <w:rFonts w:ascii="Times New Roman" w:hAnsi="Times New Roman" w:cs="Times New Roman"/>
          <w:i/>
          <w:sz w:val="24"/>
          <w:szCs w:val="24"/>
        </w:rPr>
        <w:t>Id</w:t>
      </w:r>
      <w:bookmarkEnd w:id="14"/>
      <w:r w:rsidR="006C52AB" w:rsidRPr="006C52AB">
        <w:rPr>
          <w:rFonts w:ascii="Times New Roman" w:hAnsi="Times New Roman" w:cs="Times New Roman"/>
          <w:i/>
          <w:sz w:val="24"/>
          <w:szCs w:val="24"/>
        </w:rPr>
        <w:t>.</w:t>
      </w:r>
      <w:r w:rsidR="006C52AB" w:rsidRPr="006C52AB">
        <w:rPr>
          <w:rFonts w:ascii="Times New Roman" w:hAnsi="Times New Roman" w:cs="Times New Roman"/>
          <w:sz w:val="24"/>
          <w:szCs w:val="24"/>
        </w:rPr>
        <w:t xml:space="preserve">) </w:t>
      </w:r>
      <w:r w:rsidRPr="005D60DC">
        <w:rPr>
          <w:rFonts w:ascii="Times New Roman" w:hAnsi="Times New Roman" w:cs="Times New Roman"/>
          <w:sz w:val="24"/>
          <w:szCs w:val="24"/>
        </w:rPr>
        <w:t>On April 6, 2010,</w:t>
      </w:r>
      <w:r w:rsidR="0054182C" w:rsidRPr="005D60DC">
        <w:rPr>
          <w:rFonts w:ascii="Times New Roman" w:hAnsi="Times New Roman" w:cs="Times New Roman"/>
          <w:sz w:val="24"/>
          <w:szCs w:val="24"/>
        </w:rPr>
        <w:t xml:space="preserve"> </w:t>
      </w:r>
      <w:r w:rsidR="000363B1">
        <w:rPr>
          <w:rFonts w:ascii="Times New Roman" w:hAnsi="Times New Roman" w:cs="Times New Roman"/>
          <w:sz w:val="24"/>
          <w:szCs w:val="24"/>
        </w:rPr>
        <w:t>Defendant</w:t>
      </w:r>
      <w:r w:rsidR="0054182C" w:rsidRPr="005D60DC">
        <w:rPr>
          <w:rFonts w:ascii="Times New Roman" w:hAnsi="Times New Roman" w:cs="Times New Roman"/>
          <w:sz w:val="24"/>
          <w:szCs w:val="24"/>
        </w:rPr>
        <w:t xml:space="preserve"> came to the office of </w:t>
      </w:r>
      <w:r w:rsidRPr="005D60DC">
        <w:rPr>
          <w:rFonts w:ascii="Times New Roman" w:hAnsi="Times New Roman" w:cs="Times New Roman"/>
          <w:sz w:val="24"/>
          <w:szCs w:val="24"/>
        </w:rPr>
        <w:t>OGS</w:t>
      </w:r>
      <w:r w:rsidR="0054182C" w:rsidRPr="005D60DC">
        <w:rPr>
          <w:rFonts w:ascii="Times New Roman" w:hAnsi="Times New Roman" w:cs="Times New Roman"/>
          <w:sz w:val="24"/>
          <w:szCs w:val="24"/>
        </w:rPr>
        <w:t xml:space="preserve">, where she picked up a check for $6,000 and signed a document labeled “Work-Made-For-Hire Agreement” that stated in its entirety: “I understand and agree that I have prepared the screenplay, ‘Anticipatory Repudiation,’ as a work made for hire under the federal Copyright Act of 1976. </w:t>
      </w:r>
      <w:r w:rsidR="006C52AB" w:rsidRPr="006C52AB">
        <w:rPr>
          <w:rFonts w:ascii="Times New Roman" w:hAnsi="Times New Roman" w:cs="Times New Roman"/>
          <w:sz w:val="24"/>
          <w:szCs w:val="24"/>
        </w:rPr>
        <w:t>(</w:t>
      </w:r>
      <w:bookmarkStart w:id="15" w:name="CITRUS_BOOKMARK1000000017"/>
      <w:r w:rsidR="006C52AB" w:rsidRPr="00551F7A">
        <w:rPr>
          <w:rFonts w:ascii="Times New Roman" w:hAnsi="Times New Roman" w:cs="Times New Roman"/>
          <w:i/>
          <w:sz w:val="24"/>
          <w:szCs w:val="24"/>
        </w:rPr>
        <w:t>Id</w:t>
      </w:r>
      <w:bookmarkEnd w:id="15"/>
      <w:r w:rsidR="006C52AB" w:rsidRPr="006C52AB">
        <w:rPr>
          <w:rFonts w:ascii="Times New Roman" w:hAnsi="Times New Roman" w:cs="Times New Roman"/>
          <w:i/>
          <w:sz w:val="24"/>
          <w:szCs w:val="24"/>
        </w:rPr>
        <w:t>.</w:t>
      </w:r>
      <w:r w:rsidR="006C52AB" w:rsidRPr="006C52AB">
        <w:rPr>
          <w:rFonts w:ascii="Times New Roman" w:hAnsi="Times New Roman" w:cs="Times New Roman"/>
          <w:sz w:val="24"/>
          <w:szCs w:val="24"/>
        </w:rPr>
        <w:t xml:space="preserve">) </w:t>
      </w:r>
      <w:r w:rsidR="0054182C" w:rsidRPr="005D60DC">
        <w:rPr>
          <w:rFonts w:ascii="Times New Roman" w:hAnsi="Times New Roman" w:cs="Times New Roman"/>
          <w:sz w:val="24"/>
          <w:szCs w:val="24"/>
        </w:rPr>
        <w:t>Pursuant to this law, OGS TV is the author of this screenplay.”</w:t>
      </w:r>
      <w:r w:rsidR="009F2318" w:rsidRPr="005D60DC">
        <w:rPr>
          <w:rFonts w:ascii="Times New Roman" w:hAnsi="Times New Roman" w:cs="Times New Roman"/>
          <w:sz w:val="24"/>
          <w:szCs w:val="24"/>
        </w:rPr>
        <w:t xml:space="preserve"> </w:t>
      </w:r>
      <w:r w:rsidR="006C52AB" w:rsidRPr="006C52AB">
        <w:rPr>
          <w:rFonts w:ascii="Times New Roman" w:hAnsi="Times New Roman" w:cs="Times New Roman"/>
          <w:sz w:val="24"/>
          <w:szCs w:val="24"/>
        </w:rPr>
        <w:t>(</w:t>
      </w:r>
      <w:bookmarkStart w:id="16" w:name="CITRUS_BOOKMARK1000000018"/>
      <w:r w:rsidR="006C52AB" w:rsidRPr="00551F7A">
        <w:rPr>
          <w:rFonts w:ascii="Times New Roman" w:hAnsi="Times New Roman" w:cs="Times New Roman"/>
          <w:i/>
          <w:sz w:val="24"/>
          <w:szCs w:val="24"/>
        </w:rPr>
        <w:t>Id</w:t>
      </w:r>
      <w:bookmarkEnd w:id="16"/>
      <w:r w:rsidR="006C52AB" w:rsidRPr="006C52AB">
        <w:rPr>
          <w:rFonts w:ascii="Times New Roman" w:hAnsi="Times New Roman" w:cs="Times New Roman"/>
          <w:i/>
          <w:sz w:val="24"/>
          <w:szCs w:val="24"/>
        </w:rPr>
        <w:t>.</w:t>
      </w:r>
      <w:r w:rsidR="006C52AB" w:rsidRPr="006C52AB">
        <w:rPr>
          <w:rFonts w:ascii="Times New Roman" w:hAnsi="Times New Roman" w:cs="Times New Roman"/>
          <w:sz w:val="24"/>
          <w:szCs w:val="24"/>
        </w:rPr>
        <w:t xml:space="preserve">) </w:t>
      </w:r>
      <w:r w:rsidR="007E664A">
        <w:rPr>
          <w:rFonts w:ascii="Times New Roman" w:hAnsi="Times New Roman" w:cs="Times New Roman"/>
          <w:sz w:val="24"/>
          <w:szCs w:val="24"/>
        </w:rPr>
        <w:t xml:space="preserve">On April 6, 2010, </w:t>
      </w:r>
      <w:r w:rsidR="0054182C" w:rsidRPr="005D60DC">
        <w:rPr>
          <w:rFonts w:ascii="Times New Roman" w:hAnsi="Times New Roman" w:cs="Times New Roman"/>
          <w:sz w:val="24"/>
          <w:szCs w:val="24"/>
        </w:rPr>
        <w:t>Nelson also signed the “Work-Made-For-Hire Agreement.”</w:t>
      </w:r>
      <w:r w:rsidR="009F2318" w:rsidRPr="005D60DC">
        <w:rPr>
          <w:rFonts w:ascii="Times New Roman" w:hAnsi="Times New Roman" w:cs="Times New Roman"/>
          <w:sz w:val="24"/>
          <w:szCs w:val="24"/>
        </w:rPr>
        <w:t xml:space="preserve"> </w:t>
      </w:r>
      <w:r w:rsidR="006C52AB" w:rsidRPr="006C52AB">
        <w:rPr>
          <w:rFonts w:ascii="Times New Roman" w:hAnsi="Times New Roman" w:cs="Times New Roman"/>
          <w:sz w:val="24"/>
          <w:szCs w:val="24"/>
        </w:rPr>
        <w:t>(</w:t>
      </w:r>
      <w:bookmarkStart w:id="17" w:name="CITRUS_BOOKMARK1000000019"/>
      <w:r w:rsidR="006C52AB" w:rsidRPr="00551F7A">
        <w:rPr>
          <w:rFonts w:ascii="Times New Roman" w:hAnsi="Times New Roman" w:cs="Times New Roman"/>
          <w:i/>
          <w:sz w:val="24"/>
          <w:szCs w:val="24"/>
        </w:rPr>
        <w:t>Id</w:t>
      </w:r>
      <w:bookmarkEnd w:id="17"/>
      <w:r w:rsidR="006C52AB" w:rsidRPr="006C52AB">
        <w:rPr>
          <w:rFonts w:ascii="Times New Roman" w:hAnsi="Times New Roman" w:cs="Times New Roman"/>
          <w:i/>
          <w:sz w:val="24"/>
          <w:szCs w:val="24"/>
        </w:rPr>
        <w:t>.</w:t>
      </w:r>
      <w:r w:rsidR="006C52AB" w:rsidRPr="006C52AB">
        <w:rPr>
          <w:rFonts w:ascii="Times New Roman" w:hAnsi="Times New Roman" w:cs="Times New Roman"/>
          <w:sz w:val="24"/>
          <w:szCs w:val="24"/>
        </w:rPr>
        <w:t xml:space="preserve">) </w:t>
      </w:r>
      <w:r w:rsidR="0054182C" w:rsidRPr="005D60DC">
        <w:rPr>
          <w:rFonts w:ascii="Times New Roman" w:hAnsi="Times New Roman" w:cs="Times New Roman"/>
          <w:sz w:val="24"/>
          <w:szCs w:val="24"/>
        </w:rPr>
        <w:t xml:space="preserve">On June 1, 2010, after the spring television season had ended, </w:t>
      </w:r>
      <w:r w:rsidR="000363B1">
        <w:rPr>
          <w:rFonts w:ascii="Times New Roman" w:hAnsi="Times New Roman" w:cs="Times New Roman"/>
          <w:sz w:val="24"/>
          <w:szCs w:val="24"/>
        </w:rPr>
        <w:t>Defendant</w:t>
      </w:r>
      <w:r w:rsidR="007E664A">
        <w:rPr>
          <w:rFonts w:ascii="Times New Roman" w:hAnsi="Times New Roman" w:cs="Times New Roman"/>
          <w:sz w:val="24"/>
          <w:szCs w:val="24"/>
        </w:rPr>
        <w:t xml:space="preserve"> called </w:t>
      </w:r>
      <w:r w:rsidR="0054182C" w:rsidRPr="005D60DC">
        <w:rPr>
          <w:rFonts w:ascii="Times New Roman" w:hAnsi="Times New Roman" w:cs="Times New Roman"/>
          <w:sz w:val="24"/>
          <w:szCs w:val="24"/>
        </w:rPr>
        <w:t xml:space="preserve">Nelson to ask why her screenplay was not </w:t>
      </w:r>
      <w:r w:rsidR="0054182C" w:rsidRPr="005D60DC">
        <w:rPr>
          <w:rFonts w:ascii="Times New Roman" w:hAnsi="Times New Roman" w:cs="Times New Roman"/>
          <w:sz w:val="24"/>
          <w:szCs w:val="24"/>
        </w:rPr>
        <w:lastRenderedPageBreak/>
        <w:t xml:space="preserve">performed as an episode of </w:t>
      </w:r>
      <w:r w:rsidR="0054182C" w:rsidRPr="005D60DC">
        <w:rPr>
          <w:rFonts w:ascii="Times New Roman" w:hAnsi="Times New Roman" w:cs="Times New Roman"/>
          <w:i/>
          <w:sz w:val="24"/>
          <w:szCs w:val="24"/>
        </w:rPr>
        <w:t>Lawless Love</w:t>
      </w:r>
      <w:r w:rsidR="0054182C" w:rsidRPr="005D60DC">
        <w:rPr>
          <w:rFonts w:ascii="Times New Roman" w:hAnsi="Times New Roman" w:cs="Times New Roman"/>
          <w:sz w:val="24"/>
          <w:szCs w:val="24"/>
        </w:rPr>
        <w:t xml:space="preserve">. </w:t>
      </w:r>
      <w:r w:rsidR="006C52AB" w:rsidRPr="006C52AB">
        <w:rPr>
          <w:rFonts w:ascii="Times New Roman" w:hAnsi="Times New Roman" w:cs="Times New Roman"/>
          <w:sz w:val="24"/>
          <w:szCs w:val="24"/>
        </w:rPr>
        <w:t>(</w:t>
      </w:r>
      <w:bookmarkStart w:id="18" w:name="CITRUS_BOOKMARK1000000020"/>
      <w:r w:rsidR="006C52AB" w:rsidRPr="00551F7A">
        <w:rPr>
          <w:rFonts w:ascii="Times New Roman" w:hAnsi="Times New Roman" w:cs="Times New Roman"/>
          <w:i/>
          <w:sz w:val="24"/>
          <w:szCs w:val="24"/>
        </w:rPr>
        <w:t>Id</w:t>
      </w:r>
      <w:bookmarkEnd w:id="18"/>
      <w:r w:rsidR="006C52AB" w:rsidRPr="006C52AB">
        <w:rPr>
          <w:rFonts w:ascii="Times New Roman" w:hAnsi="Times New Roman" w:cs="Times New Roman"/>
          <w:i/>
          <w:sz w:val="24"/>
          <w:szCs w:val="24"/>
        </w:rPr>
        <w:t>.</w:t>
      </w:r>
      <w:r w:rsidR="006C52AB" w:rsidRPr="006C52AB">
        <w:rPr>
          <w:rFonts w:ascii="Times New Roman" w:hAnsi="Times New Roman" w:cs="Times New Roman"/>
          <w:sz w:val="24"/>
          <w:szCs w:val="24"/>
        </w:rPr>
        <w:t xml:space="preserve">) </w:t>
      </w:r>
      <w:r w:rsidR="0054182C" w:rsidRPr="005D60DC">
        <w:rPr>
          <w:rFonts w:ascii="Times New Roman" w:hAnsi="Times New Roman" w:cs="Times New Roman"/>
          <w:sz w:val="24"/>
          <w:szCs w:val="24"/>
        </w:rPr>
        <w:t xml:space="preserve">Simon replied that the </w:t>
      </w:r>
      <w:r w:rsidR="007E664A">
        <w:rPr>
          <w:rFonts w:ascii="Times New Roman" w:hAnsi="Times New Roman" w:cs="Times New Roman"/>
          <w:sz w:val="24"/>
          <w:szCs w:val="24"/>
        </w:rPr>
        <w:t>executives were un</w:t>
      </w:r>
      <w:r w:rsidR="0054182C" w:rsidRPr="005D60DC">
        <w:rPr>
          <w:rFonts w:ascii="Times New Roman" w:hAnsi="Times New Roman" w:cs="Times New Roman"/>
          <w:sz w:val="24"/>
          <w:szCs w:val="24"/>
        </w:rPr>
        <w:t xml:space="preserve">happy with the </w:t>
      </w:r>
      <w:r w:rsidR="007E664A">
        <w:rPr>
          <w:rFonts w:ascii="Times New Roman" w:hAnsi="Times New Roman" w:cs="Times New Roman"/>
          <w:sz w:val="24"/>
          <w:szCs w:val="24"/>
        </w:rPr>
        <w:t>screenplay’s quality</w:t>
      </w:r>
      <w:r w:rsidR="0054182C" w:rsidRPr="005D60DC">
        <w:rPr>
          <w:rFonts w:ascii="Times New Roman" w:hAnsi="Times New Roman" w:cs="Times New Roman"/>
          <w:sz w:val="24"/>
          <w:szCs w:val="24"/>
        </w:rPr>
        <w:t xml:space="preserve">, and that the story did not fit the show. </w:t>
      </w:r>
      <w:r w:rsidR="006C52AB" w:rsidRPr="006C52AB">
        <w:rPr>
          <w:rFonts w:ascii="Times New Roman" w:hAnsi="Times New Roman" w:cs="Times New Roman"/>
          <w:sz w:val="24"/>
          <w:szCs w:val="24"/>
        </w:rPr>
        <w:t>(</w:t>
      </w:r>
      <w:bookmarkStart w:id="19" w:name="CITRUS_BOOKMARK1000000021"/>
      <w:r w:rsidR="006C52AB" w:rsidRPr="00551F7A">
        <w:rPr>
          <w:rFonts w:ascii="Times New Roman" w:hAnsi="Times New Roman" w:cs="Times New Roman"/>
          <w:i/>
          <w:sz w:val="24"/>
          <w:szCs w:val="24"/>
        </w:rPr>
        <w:t>Id</w:t>
      </w:r>
      <w:bookmarkEnd w:id="19"/>
      <w:r w:rsidR="006C52AB" w:rsidRPr="006C52AB">
        <w:rPr>
          <w:rFonts w:ascii="Times New Roman" w:hAnsi="Times New Roman" w:cs="Times New Roman"/>
          <w:i/>
          <w:sz w:val="24"/>
          <w:szCs w:val="24"/>
        </w:rPr>
        <w:t>.</w:t>
      </w:r>
      <w:r w:rsidR="006C52AB" w:rsidRPr="006C52AB">
        <w:rPr>
          <w:rFonts w:ascii="Times New Roman" w:hAnsi="Times New Roman" w:cs="Times New Roman"/>
          <w:sz w:val="24"/>
          <w:szCs w:val="24"/>
        </w:rPr>
        <w:t xml:space="preserve">) </w:t>
      </w:r>
    </w:p>
    <w:p w14:paraId="76CE1861" w14:textId="77777777" w:rsidR="00042356" w:rsidRPr="005D60DC" w:rsidRDefault="0054182C" w:rsidP="00042356">
      <w:pPr>
        <w:spacing w:line="480" w:lineRule="auto"/>
        <w:ind w:firstLine="720"/>
        <w:contextualSpacing/>
        <w:rPr>
          <w:rFonts w:ascii="Times New Roman" w:hAnsi="Times New Roman" w:cs="Times New Roman"/>
          <w:sz w:val="24"/>
          <w:szCs w:val="24"/>
        </w:rPr>
      </w:pPr>
      <w:r w:rsidRPr="005D60DC">
        <w:rPr>
          <w:rFonts w:ascii="Times New Roman" w:hAnsi="Times New Roman" w:cs="Times New Roman"/>
          <w:sz w:val="24"/>
          <w:szCs w:val="24"/>
        </w:rPr>
        <w:t xml:space="preserve">On or about August 2, 2010, </w:t>
      </w:r>
      <w:r w:rsidR="000363B1">
        <w:rPr>
          <w:rFonts w:ascii="Times New Roman" w:hAnsi="Times New Roman" w:cs="Times New Roman"/>
          <w:sz w:val="24"/>
          <w:szCs w:val="24"/>
        </w:rPr>
        <w:t xml:space="preserve">Defendants Lime and </w:t>
      </w:r>
      <w:proofErr w:type="spellStart"/>
      <w:r w:rsidR="000363B1">
        <w:rPr>
          <w:rFonts w:ascii="Times New Roman" w:hAnsi="Times New Roman" w:cs="Times New Roman"/>
          <w:sz w:val="24"/>
          <w:szCs w:val="24"/>
        </w:rPr>
        <w:t>TinyTV</w:t>
      </w:r>
      <w:proofErr w:type="spellEnd"/>
      <w:r w:rsidR="000363B1">
        <w:rPr>
          <w:rFonts w:ascii="Times New Roman" w:hAnsi="Times New Roman" w:cs="Times New Roman"/>
          <w:sz w:val="24"/>
          <w:szCs w:val="24"/>
        </w:rPr>
        <w:t xml:space="preserve"> </w:t>
      </w:r>
      <w:r w:rsidRPr="005D60DC">
        <w:rPr>
          <w:rFonts w:ascii="Times New Roman" w:hAnsi="Times New Roman" w:cs="Times New Roman"/>
          <w:sz w:val="24"/>
          <w:szCs w:val="24"/>
        </w:rPr>
        <w:t xml:space="preserve">created a new television series entitled </w:t>
      </w:r>
      <w:r w:rsidRPr="005D60DC">
        <w:rPr>
          <w:rFonts w:ascii="Times New Roman" w:hAnsi="Times New Roman" w:cs="Times New Roman"/>
          <w:i/>
          <w:sz w:val="24"/>
          <w:szCs w:val="24"/>
        </w:rPr>
        <w:t>The Tin Can</w:t>
      </w:r>
      <w:r w:rsidR="00666079">
        <w:rPr>
          <w:rFonts w:ascii="Times New Roman" w:hAnsi="Times New Roman" w:cs="Times New Roman"/>
          <w:sz w:val="24"/>
          <w:szCs w:val="24"/>
        </w:rPr>
        <w:t xml:space="preserve">. </w:t>
      </w:r>
      <w:r w:rsidR="006C52AB" w:rsidRPr="006C52AB">
        <w:rPr>
          <w:rFonts w:ascii="Times New Roman" w:hAnsi="Times New Roman" w:cs="Times New Roman"/>
          <w:sz w:val="24"/>
          <w:szCs w:val="24"/>
        </w:rPr>
        <w:t>(</w:t>
      </w:r>
      <w:bookmarkStart w:id="20" w:name="CITRUS_BOOKMARK1000000023"/>
      <w:r w:rsidR="006C52AB" w:rsidRPr="00551F7A">
        <w:rPr>
          <w:rFonts w:ascii="Times New Roman" w:hAnsi="Times New Roman" w:cs="Times New Roman"/>
          <w:i/>
          <w:sz w:val="24"/>
          <w:szCs w:val="24"/>
        </w:rPr>
        <w:t>Id</w:t>
      </w:r>
      <w:bookmarkEnd w:id="20"/>
      <w:r w:rsidR="006C52AB" w:rsidRPr="006C52AB">
        <w:rPr>
          <w:rFonts w:ascii="Times New Roman" w:hAnsi="Times New Roman" w:cs="Times New Roman"/>
          <w:i/>
          <w:sz w:val="24"/>
          <w:szCs w:val="24"/>
        </w:rPr>
        <w:t>.</w:t>
      </w:r>
      <w:r w:rsidR="006C52AB" w:rsidRPr="006C52AB">
        <w:rPr>
          <w:rFonts w:ascii="Times New Roman" w:hAnsi="Times New Roman" w:cs="Times New Roman"/>
          <w:sz w:val="24"/>
          <w:szCs w:val="24"/>
        </w:rPr>
        <w:t xml:space="preserve">) </w:t>
      </w:r>
      <w:r w:rsidRPr="005D60DC">
        <w:rPr>
          <w:rFonts w:ascii="Times New Roman" w:hAnsi="Times New Roman" w:cs="Times New Roman"/>
          <w:sz w:val="24"/>
          <w:szCs w:val="24"/>
        </w:rPr>
        <w:t xml:space="preserve">In August </w:t>
      </w:r>
      <w:r w:rsidR="00782EA6" w:rsidRPr="005D60DC">
        <w:rPr>
          <w:rFonts w:ascii="Times New Roman" w:hAnsi="Times New Roman" w:cs="Times New Roman"/>
          <w:sz w:val="24"/>
          <w:szCs w:val="24"/>
        </w:rPr>
        <w:t>2010</w:t>
      </w:r>
      <w:r w:rsidRPr="005D60DC">
        <w:rPr>
          <w:rFonts w:ascii="Times New Roman" w:hAnsi="Times New Roman" w:cs="Times New Roman"/>
          <w:sz w:val="24"/>
          <w:szCs w:val="24"/>
        </w:rPr>
        <w:t xml:space="preserve">, </w:t>
      </w:r>
      <w:r w:rsidR="003D6C82">
        <w:rPr>
          <w:rFonts w:ascii="Times New Roman" w:hAnsi="Times New Roman" w:cs="Times New Roman"/>
          <w:sz w:val="24"/>
          <w:szCs w:val="24"/>
        </w:rPr>
        <w:t>Defendants</w:t>
      </w:r>
      <w:r w:rsidR="00782EA6" w:rsidRPr="005D60DC">
        <w:rPr>
          <w:rFonts w:ascii="Times New Roman" w:hAnsi="Times New Roman" w:cs="Times New Roman"/>
          <w:sz w:val="24"/>
          <w:szCs w:val="24"/>
        </w:rPr>
        <w:t xml:space="preserve"> </w:t>
      </w:r>
      <w:r w:rsidRPr="005D60DC">
        <w:rPr>
          <w:rFonts w:ascii="Times New Roman" w:hAnsi="Times New Roman" w:cs="Times New Roman"/>
          <w:sz w:val="24"/>
          <w:szCs w:val="24"/>
        </w:rPr>
        <w:t xml:space="preserve">produced a screenplay for the pilot episode of </w:t>
      </w:r>
      <w:r w:rsidRPr="005D60DC">
        <w:rPr>
          <w:rFonts w:ascii="Times New Roman" w:hAnsi="Times New Roman" w:cs="Times New Roman"/>
          <w:i/>
          <w:sz w:val="24"/>
          <w:szCs w:val="24"/>
        </w:rPr>
        <w:t>The Tin Can</w:t>
      </w:r>
      <w:r w:rsidR="00DC340C">
        <w:rPr>
          <w:rFonts w:ascii="Times New Roman" w:hAnsi="Times New Roman" w:cs="Times New Roman"/>
          <w:sz w:val="24"/>
          <w:szCs w:val="24"/>
        </w:rPr>
        <w:t xml:space="preserve"> </w:t>
      </w:r>
      <w:r w:rsidRPr="005D60DC">
        <w:rPr>
          <w:rFonts w:ascii="Times New Roman" w:hAnsi="Times New Roman" w:cs="Times New Roman"/>
          <w:sz w:val="24"/>
          <w:szCs w:val="24"/>
        </w:rPr>
        <w:t xml:space="preserve">which they copied in substantial part from </w:t>
      </w:r>
      <w:r w:rsidR="00782EA6" w:rsidRPr="005D60DC">
        <w:rPr>
          <w:rFonts w:ascii="Times New Roman" w:hAnsi="Times New Roman" w:cs="Times New Roman"/>
          <w:sz w:val="24"/>
          <w:szCs w:val="24"/>
        </w:rPr>
        <w:t>OGS</w:t>
      </w:r>
      <w:r w:rsidRPr="005D60DC">
        <w:rPr>
          <w:rFonts w:ascii="Times New Roman" w:hAnsi="Times New Roman" w:cs="Times New Roman"/>
          <w:sz w:val="24"/>
          <w:szCs w:val="24"/>
        </w:rPr>
        <w:t>’s copyrighted screenplay without the knowledge or consent of</w:t>
      </w:r>
      <w:r w:rsidR="00782EA6" w:rsidRPr="005D60DC">
        <w:rPr>
          <w:rFonts w:ascii="Times New Roman" w:hAnsi="Times New Roman" w:cs="Times New Roman"/>
          <w:sz w:val="24"/>
          <w:szCs w:val="24"/>
        </w:rPr>
        <w:t xml:space="preserve"> OGS</w:t>
      </w:r>
      <w:r w:rsidRPr="005D60DC">
        <w:rPr>
          <w:rFonts w:ascii="Times New Roman" w:hAnsi="Times New Roman" w:cs="Times New Roman"/>
          <w:sz w:val="24"/>
          <w:szCs w:val="24"/>
        </w:rPr>
        <w:t xml:space="preserve">. </w:t>
      </w:r>
      <w:r w:rsidR="006C52AB" w:rsidRPr="006C52AB">
        <w:rPr>
          <w:rFonts w:ascii="Times New Roman" w:hAnsi="Times New Roman" w:cs="Times New Roman"/>
          <w:sz w:val="24"/>
          <w:szCs w:val="24"/>
        </w:rPr>
        <w:t>(</w:t>
      </w:r>
      <w:bookmarkStart w:id="21" w:name="CITRUS_BOOKMARK1000000024"/>
      <w:r w:rsidR="006C52AB" w:rsidRPr="00551F7A">
        <w:rPr>
          <w:rFonts w:ascii="Times New Roman" w:hAnsi="Times New Roman" w:cs="Times New Roman"/>
          <w:i/>
          <w:sz w:val="24"/>
          <w:szCs w:val="24"/>
        </w:rPr>
        <w:t>Id</w:t>
      </w:r>
      <w:bookmarkEnd w:id="21"/>
      <w:r w:rsidR="006C52AB" w:rsidRPr="006C52AB">
        <w:rPr>
          <w:rFonts w:ascii="Times New Roman" w:hAnsi="Times New Roman" w:cs="Times New Roman"/>
          <w:i/>
          <w:sz w:val="24"/>
          <w:szCs w:val="24"/>
        </w:rPr>
        <w:t>.</w:t>
      </w:r>
      <w:r w:rsidR="006C52AB" w:rsidRPr="006C52AB">
        <w:rPr>
          <w:rFonts w:ascii="Times New Roman" w:hAnsi="Times New Roman" w:cs="Times New Roman"/>
          <w:sz w:val="24"/>
          <w:szCs w:val="24"/>
        </w:rPr>
        <w:t xml:space="preserve">) </w:t>
      </w:r>
      <w:r w:rsidR="00E32099">
        <w:rPr>
          <w:rFonts w:ascii="Times New Roman" w:hAnsi="Times New Roman" w:cs="Times New Roman"/>
          <w:sz w:val="24"/>
          <w:szCs w:val="24"/>
        </w:rPr>
        <w:t xml:space="preserve">In September </w:t>
      </w:r>
      <w:r w:rsidRPr="005D60DC">
        <w:rPr>
          <w:rFonts w:ascii="Times New Roman" w:hAnsi="Times New Roman" w:cs="Times New Roman"/>
          <w:sz w:val="24"/>
          <w:szCs w:val="24"/>
        </w:rPr>
        <w:t xml:space="preserve">2010, </w:t>
      </w:r>
      <w:r w:rsidR="004E08BF">
        <w:rPr>
          <w:rFonts w:ascii="Times New Roman" w:hAnsi="Times New Roman" w:cs="Times New Roman"/>
          <w:sz w:val="24"/>
          <w:szCs w:val="24"/>
        </w:rPr>
        <w:t>Defendants</w:t>
      </w:r>
      <w:r w:rsidRPr="005D60DC">
        <w:rPr>
          <w:rFonts w:ascii="Times New Roman" w:hAnsi="Times New Roman" w:cs="Times New Roman"/>
          <w:sz w:val="24"/>
          <w:szCs w:val="24"/>
        </w:rPr>
        <w:t xml:space="preserve">, without the consent of </w:t>
      </w:r>
      <w:r w:rsidR="00782EA6" w:rsidRPr="005D60DC">
        <w:rPr>
          <w:rFonts w:ascii="Times New Roman" w:hAnsi="Times New Roman" w:cs="Times New Roman"/>
          <w:sz w:val="24"/>
          <w:szCs w:val="24"/>
        </w:rPr>
        <w:t>OGS</w:t>
      </w:r>
      <w:r w:rsidRPr="005D60DC">
        <w:rPr>
          <w:rFonts w:ascii="Times New Roman" w:hAnsi="Times New Roman" w:cs="Times New Roman"/>
          <w:sz w:val="24"/>
          <w:szCs w:val="24"/>
        </w:rPr>
        <w:t>, produced and performed the screenplay “The Love Below” on television, and have broadcast and displayed such performance over television througho</w:t>
      </w:r>
      <w:r w:rsidR="008471B2">
        <w:rPr>
          <w:rFonts w:ascii="Times New Roman" w:hAnsi="Times New Roman" w:cs="Times New Roman"/>
          <w:sz w:val="24"/>
          <w:szCs w:val="24"/>
        </w:rPr>
        <w:t xml:space="preserve">ut the U.S. </w:t>
      </w:r>
      <w:r w:rsidRPr="005D60DC">
        <w:rPr>
          <w:rFonts w:ascii="Times New Roman" w:hAnsi="Times New Roman" w:cs="Times New Roman"/>
          <w:sz w:val="24"/>
          <w:szCs w:val="24"/>
        </w:rPr>
        <w:t xml:space="preserve">on </w:t>
      </w:r>
      <w:proofErr w:type="spellStart"/>
      <w:r w:rsidRPr="005D60DC">
        <w:rPr>
          <w:rFonts w:ascii="Times New Roman" w:hAnsi="Times New Roman" w:cs="Times New Roman"/>
          <w:sz w:val="24"/>
          <w:szCs w:val="24"/>
        </w:rPr>
        <w:t>TinyTV’s</w:t>
      </w:r>
      <w:proofErr w:type="spellEnd"/>
      <w:r w:rsidRPr="005D60DC">
        <w:rPr>
          <w:rFonts w:ascii="Times New Roman" w:hAnsi="Times New Roman" w:cs="Times New Roman"/>
          <w:sz w:val="24"/>
          <w:szCs w:val="24"/>
        </w:rPr>
        <w:t xml:space="preserve"> television channel</w:t>
      </w:r>
      <w:r w:rsidR="00782EA6" w:rsidRPr="005D60DC">
        <w:rPr>
          <w:rFonts w:ascii="Times New Roman" w:hAnsi="Times New Roman" w:cs="Times New Roman"/>
          <w:sz w:val="24"/>
          <w:szCs w:val="24"/>
        </w:rPr>
        <w:t xml:space="preserve">. </w:t>
      </w:r>
      <w:r w:rsidR="006C52AB" w:rsidRPr="006C52AB">
        <w:rPr>
          <w:rFonts w:ascii="Times New Roman" w:hAnsi="Times New Roman" w:cs="Times New Roman"/>
          <w:sz w:val="24"/>
          <w:szCs w:val="24"/>
        </w:rPr>
        <w:t>(</w:t>
      </w:r>
      <w:bookmarkStart w:id="22" w:name="CITRUS_BOOKMARK1000000025"/>
      <w:r w:rsidR="006C52AB" w:rsidRPr="00551F7A">
        <w:rPr>
          <w:rFonts w:ascii="Times New Roman" w:hAnsi="Times New Roman" w:cs="Times New Roman"/>
          <w:i/>
          <w:sz w:val="24"/>
          <w:szCs w:val="24"/>
        </w:rPr>
        <w:t>Id</w:t>
      </w:r>
      <w:bookmarkEnd w:id="22"/>
      <w:r w:rsidR="006C52AB" w:rsidRPr="006C52AB">
        <w:rPr>
          <w:rFonts w:ascii="Times New Roman" w:hAnsi="Times New Roman" w:cs="Times New Roman"/>
          <w:i/>
          <w:sz w:val="24"/>
          <w:szCs w:val="24"/>
        </w:rPr>
        <w:t>.</w:t>
      </w:r>
      <w:r w:rsidR="006C52AB" w:rsidRPr="006C52AB">
        <w:rPr>
          <w:rFonts w:ascii="Times New Roman" w:hAnsi="Times New Roman" w:cs="Times New Roman"/>
          <w:sz w:val="24"/>
          <w:szCs w:val="24"/>
        </w:rPr>
        <w:t xml:space="preserve">) </w:t>
      </w:r>
      <w:r w:rsidR="00782EA6" w:rsidRPr="005D60DC">
        <w:rPr>
          <w:rFonts w:ascii="Times New Roman" w:hAnsi="Times New Roman" w:cs="Times New Roman"/>
          <w:sz w:val="24"/>
          <w:szCs w:val="24"/>
        </w:rPr>
        <w:t xml:space="preserve">Only </w:t>
      </w:r>
      <w:r w:rsidR="004E08BF">
        <w:rPr>
          <w:rFonts w:ascii="Times New Roman" w:hAnsi="Times New Roman" w:cs="Times New Roman"/>
          <w:sz w:val="24"/>
          <w:szCs w:val="24"/>
        </w:rPr>
        <w:t>Defendants</w:t>
      </w:r>
      <w:r w:rsidR="004E08BF" w:rsidRPr="005D60DC">
        <w:rPr>
          <w:rFonts w:ascii="Times New Roman" w:hAnsi="Times New Roman" w:cs="Times New Roman"/>
          <w:sz w:val="24"/>
          <w:szCs w:val="24"/>
        </w:rPr>
        <w:t xml:space="preserve"> </w:t>
      </w:r>
      <w:r w:rsidR="00782EA6" w:rsidRPr="005D60DC">
        <w:rPr>
          <w:rFonts w:ascii="Times New Roman" w:hAnsi="Times New Roman" w:cs="Times New Roman"/>
          <w:sz w:val="24"/>
          <w:szCs w:val="24"/>
        </w:rPr>
        <w:t>rec</w:t>
      </w:r>
      <w:r w:rsidR="00DC340C">
        <w:rPr>
          <w:rFonts w:ascii="Times New Roman" w:hAnsi="Times New Roman" w:cs="Times New Roman"/>
          <w:sz w:val="24"/>
          <w:szCs w:val="24"/>
        </w:rPr>
        <w:t>eived profits from this</w:t>
      </w:r>
      <w:r w:rsidR="00782EA6" w:rsidRPr="005D60DC">
        <w:rPr>
          <w:rFonts w:ascii="Times New Roman" w:hAnsi="Times New Roman" w:cs="Times New Roman"/>
          <w:sz w:val="24"/>
          <w:szCs w:val="24"/>
        </w:rPr>
        <w:t xml:space="preserve">. </w:t>
      </w:r>
      <w:r w:rsidR="006C52AB" w:rsidRPr="006C52AB">
        <w:rPr>
          <w:rFonts w:ascii="Times New Roman" w:hAnsi="Times New Roman" w:cs="Times New Roman"/>
          <w:sz w:val="24"/>
          <w:szCs w:val="24"/>
        </w:rPr>
        <w:t>(</w:t>
      </w:r>
      <w:bookmarkStart w:id="23" w:name="CITRUS_BOOKMARK1000000026"/>
      <w:r w:rsidR="006C52AB" w:rsidRPr="00551F7A">
        <w:rPr>
          <w:rFonts w:ascii="Times New Roman" w:hAnsi="Times New Roman" w:cs="Times New Roman"/>
          <w:i/>
          <w:sz w:val="24"/>
          <w:szCs w:val="24"/>
        </w:rPr>
        <w:t>Id</w:t>
      </w:r>
      <w:bookmarkEnd w:id="23"/>
      <w:r w:rsidR="006C52AB" w:rsidRPr="006C52AB">
        <w:rPr>
          <w:rFonts w:ascii="Times New Roman" w:hAnsi="Times New Roman" w:cs="Times New Roman"/>
          <w:i/>
          <w:sz w:val="24"/>
          <w:szCs w:val="24"/>
        </w:rPr>
        <w:t>.</w:t>
      </w:r>
      <w:r w:rsidR="006C52AB" w:rsidRPr="006C52AB">
        <w:rPr>
          <w:rFonts w:ascii="Times New Roman" w:hAnsi="Times New Roman" w:cs="Times New Roman"/>
          <w:sz w:val="24"/>
          <w:szCs w:val="24"/>
        </w:rPr>
        <w:t xml:space="preserve">) </w:t>
      </w:r>
      <w:r w:rsidRPr="005D60DC">
        <w:rPr>
          <w:rFonts w:ascii="Times New Roman" w:hAnsi="Times New Roman" w:cs="Times New Roman"/>
          <w:sz w:val="24"/>
          <w:szCs w:val="24"/>
        </w:rPr>
        <w:t>Both</w:t>
      </w:r>
      <w:r w:rsidR="00744693" w:rsidRPr="005D60DC">
        <w:rPr>
          <w:rFonts w:ascii="Times New Roman" w:hAnsi="Times New Roman" w:cs="Times New Roman"/>
          <w:sz w:val="24"/>
          <w:szCs w:val="24"/>
        </w:rPr>
        <w:t xml:space="preserve"> parties agree that the</w:t>
      </w:r>
      <w:r w:rsidRPr="005D60DC">
        <w:rPr>
          <w:rFonts w:ascii="Times New Roman" w:hAnsi="Times New Roman" w:cs="Times New Roman"/>
          <w:sz w:val="24"/>
          <w:szCs w:val="24"/>
        </w:rPr>
        <w:t xml:space="preserve"> screenplays contain identical dialogue, characters, and storylines. </w:t>
      </w:r>
      <w:r w:rsidR="006C52AB">
        <w:rPr>
          <w:rFonts w:ascii="Times New Roman" w:hAnsi="Times New Roman" w:cs="Times New Roman"/>
          <w:sz w:val="24"/>
          <w:szCs w:val="24"/>
        </w:rPr>
        <w:t>(</w:t>
      </w:r>
      <w:proofErr w:type="spellStart"/>
      <w:r w:rsidR="006C52AB">
        <w:rPr>
          <w:rFonts w:ascii="Times New Roman" w:hAnsi="Times New Roman" w:cs="Times New Roman"/>
          <w:sz w:val="24"/>
          <w:szCs w:val="24"/>
        </w:rPr>
        <w:t>Compl</w:t>
      </w:r>
      <w:proofErr w:type="spellEnd"/>
      <w:r w:rsidR="006C52AB">
        <w:rPr>
          <w:rFonts w:ascii="Times New Roman" w:hAnsi="Times New Roman" w:cs="Times New Roman"/>
          <w:sz w:val="24"/>
          <w:szCs w:val="24"/>
        </w:rPr>
        <w:t>. ¶4; Ans.</w:t>
      </w:r>
      <w:r w:rsidR="006C52AB" w:rsidRPr="00012613">
        <w:rPr>
          <w:rFonts w:ascii="Times New Roman" w:hAnsi="Times New Roman" w:cs="Times New Roman"/>
          <w:sz w:val="24"/>
          <w:szCs w:val="24"/>
        </w:rPr>
        <w:t xml:space="preserve">) </w:t>
      </w:r>
    </w:p>
    <w:p w14:paraId="5B8A45C9" w14:textId="77777777" w:rsidR="00042356" w:rsidRDefault="00042356" w:rsidP="00042356">
      <w:pPr>
        <w:spacing w:line="480" w:lineRule="auto"/>
        <w:contextualSpacing/>
        <w:rPr>
          <w:rFonts w:ascii="Times New Roman" w:hAnsi="Times New Roman" w:cs="Times New Roman"/>
          <w:sz w:val="24"/>
          <w:szCs w:val="24"/>
        </w:rPr>
      </w:pPr>
    </w:p>
    <w:p w14:paraId="62A4164B" w14:textId="77777777" w:rsidR="00956DF3" w:rsidRDefault="00956DF3" w:rsidP="00956DF3">
      <w:pPr>
        <w:spacing w:line="480" w:lineRule="auto"/>
        <w:contextualSpacing/>
        <w:jc w:val="center"/>
        <w:rPr>
          <w:rFonts w:ascii="Times New Roman" w:hAnsi="Times New Roman" w:cs="Times New Roman"/>
          <w:b/>
          <w:sz w:val="24"/>
          <w:szCs w:val="24"/>
        </w:rPr>
      </w:pPr>
      <w:r w:rsidRPr="00956DF3">
        <w:rPr>
          <w:rFonts w:ascii="Times New Roman" w:hAnsi="Times New Roman" w:cs="Times New Roman"/>
          <w:b/>
          <w:sz w:val="24"/>
          <w:szCs w:val="24"/>
        </w:rPr>
        <w:t>STANDARD OF REVIEW</w:t>
      </w:r>
    </w:p>
    <w:p w14:paraId="4BF83920" w14:textId="77777777" w:rsidR="00327F7D" w:rsidRDefault="00956DF3" w:rsidP="00A36006">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Plaintiff’s complaint adequately pleads that Defendants violated the federal Copyright Act of 1976. </w:t>
      </w:r>
      <w:r w:rsidRPr="00F806C3">
        <w:rPr>
          <w:rFonts w:ascii="Times New Roman" w:hAnsi="Times New Roman" w:cs="Times New Roman"/>
          <w:sz w:val="24"/>
          <w:szCs w:val="24"/>
        </w:rPr>
        <w:t>FRCP 8 addresses the req</w:t>
      </w:r>
      <w:r w:rsidR="00327F7D">
        <w:rPr>
          <w:rFonts w:ascii="Times New Roman" w:hAnsi="Times New Roman" w:cs="Times New Roman"/>
          <w:sz w:val="24"/>
          <w:szCs w:val="24"/>
        </w:rPr>
        <w:t xml:space="preserve">uirements of adequate pleadings: </w:t>
      </w:r>
    </w:p>
    <w:p w14:paraId="0CB46076" w14:textId="77777777" w:rsidR="00327F7D" w:rsidRDefault="00956DF3" w:rsidP="00327F7D">
      <w:pPr>
        <w:spacing w:after="0" w:line="240" w:lineRule="auto"/>
        <w:ind w:left="720" w:right="720"/>
        <w:contextualSpacing/>
        <w:jc w:val="both"/>
        <w:rPr>
          <w:rFonts w:ascii="Times New Roman" w:eastAsia="Times New Roman" w:hAnsi="Times New Roman" w:cs="Times New Roman"/>
          <w:sz w:val="24"/>
          <w:szCs w:val="24"/>
        </w:rPr>
      </w:pPr>
      <w:r w:rsidRPr="00F806C3">
        <w:rPr>
          <w:rFonts w:ascii="Times New Roman" w:eastAsia="Times New Roman" w:hAnsi="Times New Roman" w:cs="Times New Roman"/>
          <w:sz w:val="24"/>
          <w:szCs w:val="24"/>
        </w:rPr>
        <w:t>A pleading that states a claim for relief must contain:</w:t>
      </w:r>
      <w:r>
        <w:rPr>
          <w:rFonts w:ascii="Times New Roman" w:eastAsia="Times New Roman" w:hAnsi="Times New Roman" w:cs="Times New Roman"/>
          <w:sz w:val="24"/>
          <w:szCs w:val="24"/>
        </w:rPr>
        <w:t xml:space="preserve"> </w:t>
      </w:r>
      <w:r w:rsidRPr="00F806C3">
        <w:rPr>
          <w:rFonts w:ascii="Times New Roman" w:eastAsia="Times New Roman" w:hAnsi="Times New Roman" w:cs="Times New Roman"/>
          <w:sz w:val="24"/>
          <w:szCs w:val="24"/>
        </w:rPr>
        <w:t>(1) a short and plain statement of the grounds for the court’s jurisdiction, unless the court already has jurisdiction and the claim needs no new jurisdictional support;</w:t>
      </w:r>
      <w:r>
        <w:rPr>
          <w:rFonts w:ascii="Times New Roman" w:eastAsia="Times New Roman" w:hAnsi="Times New Roman" w:cs="Times New Roman"/>
          <w:sz w:val="24"/>
          <w:szCs w:val="24"/>
        </w:rPr>
        <w:t xml:space="preserve"> </w:t>
      </w:r>
      <w:r w:rsidRPr="00F806C3">
        <w:rPr>
          <w:rFonts w:ascii="Times New Roman" w:eastAsia="Times New Roman" w:hAnsi="Times New Roman" w:cs="Times New Roman"/>
          <w:sz w:val="24"/>
          <w:szCs w:val="24"/>
        </w:rPr>
        <w:t>(2) a short and plain statement of the claim showing that the pleader is entitled to relief; and (3) a demand for the relief sought, which may include relief in the alternative or different types of relief.</w:t>
      </w:r>
    </w:p>
    <w:p w14:paraId="7EE54E8D" w14:textId="77777777" w:rsidR="00327F7D" w:rsidRDefault="00327F7D" w:rsidP="00327F7D">
      <w:pPr>
        <w:spacing w:after="0" w:line="240" w:lineRule="auto"/>
        <w:ind w:left="720" w:right="720"/>
        <w:contextualSpacing/>
        <w:jc w:val="both"/>
        <w:rPr>
          <w:rFonts w:ascii="Times New Roman" w:eastAsia="Times New Roman" w:hAnsi="Times New Roman" w:cs="Times New Roman"/>
          <w:sz w:val="24"/>
          <w:szCs w:val="24"/>
        </w:rPr>
      </w:pPr>
    </w:p>
    <w:p w14:paraId="3E038690" w14:textId="77777777" w:rsidR="00956DF3" w:rsidRPr="00BE1471" w:rsidRDefault="00956DF3" w:rsidP="00327F7D">
      <w:pPr>
        <w:spacing w:after="0" w:line="480" w:lineRule="auto"/>
        <w:contextualSpacing/>
        <w:rPr>
          <w:rFonts w:ascii="Times New Roman" w:eastAsia="Times New Roman" w:hAnsi="Times New Roman" w:cs="Times New Roman"/>
          <w:sz w:val="24"/>
          <w:szCs w:val="24"/>
        </w:rPr>
      </w:pPr>
      <w:r w:rsidRPr="00F53886">
        <w:rPr>
          <w:rFonts w:ascii="Times New Roman" w:hAnsi="Times New Roman" w:cs="Times New Roman"/>
          <w:sz w:val="24"/>
          <w:szCs w:val="24"/>
        </w:rPr>
        <w:t>The pleading standard Rule 8 announces does not require detailed factual allegations, but it demands more than an unadorned, the-defendant-unlawfully-harmed-me accusation.</w:t>
      </w:r>
      <w:r w:rsidR="00A36006">
        <w:rPr>
          <w:rFonts w:ascii="Times New Roman" w:hAnsi="Times New Roman" w:cs="Times New Roman"/>
          <w:sz w:val="24"/>
          <w:szCs w:val="24"/>
        </w:rPr>
        <w:t xml:space="preserve"> </w:t>
      </w:r>
      <w:r w:rsidR="00A36006" w:rsidRPr="00551F7A">
        <w:rPr>
          <w:rFonts w:ascii="Times New Roman" w:hAnsi="Times New Roman"/>
          <w:i/>
          <w:sz w:val="24"/>
        </w:rPr>
        <w:t xml:space="preserve">Ashcroft v. </w:t>
      </w:r>
      <w:proofErr w:type="spellStart"/>
      <w:r w:rsidR="00A36006" w:rsidRPr="00551F7A">
        <w:rPr>
          <w:rFonts w:ascii="Times New Roman" w:hAnsi="Times New Roman"/>
          <w:i/>
          <w:sz w:val="24"/>
        </w:rPr>
        <w:t>Iqbal</w:t>
      </w:r>
      <w:proofErr w:type="spellEnd"/>
      <w:r w:rsidR="00A36006" w:rsidRPr="00551F7A">
        <w:rPr>
          <w:rFonts w:ascii="Times New Roman" w:hAnsi="Times New Roman"/>
          <w:sz w:val="24"/>
        </w:rPr>
        <w:t>, 556 U.S. 662, 1940 (2009</w:t>
      </w:r>
      <w:proofErr w:type="gramStart"/>
      <w:r w:rsidR="00A36006" w:rsidRPr="00551F7A">
        <w:rPr>
          <w:rFonts w:ascii="Times New Roman" w:hAnsi="Times New Roman"/>
          <w:sz w:val="24"/>
        </w:rPr>
        <w:t>)</w:t>
      </w:r>
      <w:r w:rsidR="00A36006">
        <w:rPr>
          <w:rFonts w:ascii="Times New Roman" w:hAnsi="Times New Roman"/>
          <w:sz w:val="24"/>
        </w:rPr>
        <w:t xml:space="preserve">  </w:t>
      </w:r>
      <w:r w:rsidRPr="00F53886">
        <w:rPr>
          <w:rFonts w:ascii="Times New Roman" w:hAnsi="Times New Roman" w:cs="Times New Roman"/>
          <w:sz w:val="24"/>
          <w:szCs w:val="24"/>
        </w:rPr>
        <w:t>To</w:t>
      </w:r>
      <w:proofErr w:type="gramEnd"/>
      <w:r w:rsidRPr="00F53886">
        <w:rPr>
          <w:rFonts w:ascii="Times New Roman" w:hAnsi="Times New Roman" w:cs="Times New Roman"/>
          <w:sz w:val="24"/>
          <w:szCs w:val="24"/>
        </w:rPr>
        <w:t xml:space="preserve"> survive a </w:t>
      </w:r>
      <w:r w:rsidRPr="00551F7A">
        <w:rPr>
          <w:rFonts w:ascii="Times New Roman" w:hAnsi="Times New Roman" w:cs="Times New Roman"/>
          <w:sz w:val="24"/>
          <w:szCs w:val="24"/>
        </w:rPr>
        <w:t>Fed. R. Civ. P. 12(b)(6)</w:t>
      </w:r>
      <w:r w:rsidRPr="00F53886">
        <w:rPr>
          <w:rFonts w:ascii="Times New Roman" w:hAnsi="Times New Roman" w:cs="Times New Roman"/>
          <w:sz w:val="24"/>
          <w:szCs w:val="24"/>
        </w:rPr>
        <w:t>, motion to dismiss, a complaint must contain sufficient factual matter, accepted as true, to state a claim to relief that is plausible on its face.</w:t>
      </w:r>
      <w:r w:rsidR="00A36006">
        <w:rPr>
          <w:rFonts w:ascii="Times New Roman" w:hAnsi="Times New Roman" w:cs="Times New Roman"/>
          <w:sz w:val="24"/>
          <w:szCs w:val="24"/>
        </w:rPr>
        <w:t xml:space="preserve"> </w:t>
      </w:r>
      <w:r w:rsidR="00A36006" w:rsidRPr="006C52AB">
        <w:rPr>
          <w:rFonts w:ascii="Times New Roman" w:hAnsi="Times New Roman" w:cs="Times New Roman"/>
          <w:sz w:val="24"/>
          <w:szCs w:val="24"/>
        </w:rPr>
        <w:t>(</w:t>
      </w:r>
      <w:r w:rsidR="00A36006" w:rsidRPr="00551F7A">
        <w:rPr>
          <w:rFonts w:ascii="Times New Roman" w:hAnsi="Times New Roman" w:cs="Times New Roman"/>
          <w:i/>
          <w:sz w:val="24"/>
          <w:szCs w:val="24"/>
        </w:rPr>
        <w:t>Id</w:t>
      </w:r>
      <w:r w:rsidR="00A36006" w:rsidRPr="006C52AB">
        <w:rPr>
          <w:rFonts w:ascii="Times New Roman" w:hAnsi="Times New Roman" w:cs="Times New Roman"/>
          <w:i/>
          <w:sz w:val="24"/>
          <w:szCs w:val="24"/>
        </w:rPr>
        <w:t>.</w:t>
      </w:r>
      <w:r w:rsidR="00A36006" w:rsidRPr="006C52AB">
        <w:rPr>
          <w:rFonts w:ascii="Times New Roman" w:hAnsi="Times New Roman" w:cs="Times New Roman"/>
          <w:sz w:val="24"/>
          <w:szCs w:val="24"/>
        </w:rPr>
        <w:t xml:space="preserve">) </w:t>
      </w:r>
      <w:r w:rsidRPr="00F53886">
        <w:rPr>
          <w:rFonts w:ascii="Times New Roman" w:hAnsi="Times New Roman" w:cs="Times New Roman"/>
          <w:sz w:val="24"/>
          <w:szCs w:val="24"/>
        </w:rPr>
        <w:t xml:space="preserve"> A claim has facial plausibility when the plaintiff pleads factual </w:t>
      </w:r>
      <w:r w:rsidRPr="00F53886">
        <w:rPr>
          <w:rFonts w:ascii="Times New Roman" w:hAnsi="Times New Roman" w:cs="Times New Roman"/>
          <w:sz w:val="24"/>
          <w:szCs w:val="24"/>
        </w:rPr>
        <w:lastRenderedPageBreak/>
        <w:t>content that allows the court to draw the reasonable inference that the defendant is liable for the misconduct alleged.</w:t>
      </w:r>
      <w:r w:rsidR="00A36006">
        <w:rPr>
          <w:rFonts w:ascii="Times New Roman" w:hAnsi="Times New Roman" w:cs="Times New Roman"/>
          <w:sz w:val="24"/>
          <w:szCs w:val="24"/>
        </w:rPr>
        <w:t xml:space="preserve"> </w:t>
      </w:r>
      <w:r w:rsidR="00A36006" w:rsidRPr="006C52AB">
        <w:rPr>
          <w:rFonts w:ascii="Times New Roman" w:hAnsi="Times New Roman" w:cs="Times New Roman"/>
          <w:sz w:val="24"/>
          <w:szCs w:val="24"/>
        </w:rPr>
        <w:t>(</w:t>
      </w:r>
      <w:r w:rsidR="00A36006" w:rsidRPr="00551F7A">
        <w:rPr>
          <w:rFonts w:ascii="Times New Roman" w:hAnsi="Times New Roman" w:cs="Times New Roman"/>
          <w:i/>
          <w:sz w:val="24"/>
          <w:szCs w:val="24"/>
        </w:rPr>
        <w:t>Id</w:t>
      </w:r>
      <w:r w:rsidR="00A36006" w:rsidRPr="006C52AB">
        <w:rPr>
          <w:rFonts w:ascii="Times New Roman" w:hAnsi="Times New Roman" w:cs="Times New Roman"/>
          <w:i/>
          <w:sz w:val="24"/>
          <w:szCs w:val="24"/>
        </w:rPr>
        <w:t>.</w:t>
      </w:r>
      <w:r w:rsidR="00A36006" w:rsidRPr="006C52AB">
        <w:rPr>
          <w:rFonts w:ascii="Times New Roman" w:hAnsi="Times New Roman" w:cs="Times New Roman"/>
          <w:sz w:val="24"/>
          <w:szCs w:val="24"/>
        </w:rPr>
        <w:t xml:space="preserve">) </w:t>
      </w:r>
      <w:r w:rsidRPr="00F53886">
        <w:rPr>
          <w:rFonts w:ascii="Times New Roman" w:hAnsi="Times New Roman" w:cs="Times New Roman"/>
          <w:sz w:val="24"/>
          <w:szCs w:val="24"/>
        </w:rPr>
        <w:t xml:space="preserve"> The plausibility standard is not akin to a probability requirement, but it asks for more than a sheer possibility that a </w:t>
      </w:r>
      <w:r w:rsidR="00A36006">
        <w:rPr>
          <w:rFonts w:ascii="Times New Roman" w:hAnsi="Times New Roman" w:cs="Times New Roman"/>
          <w:sz w:val="24"/>
          <w:szCs w:val="24"/>
        </w:rPr>
        <w:t xml:space="preserve">defendant has acted unlawfully. </w:t>
      </w:r>
      <w:r w:rsidR="00A36006" w:rsidRPr="006C52AB">
        <w:rPr>
          <w:rFonts w:ascii="Times New Roman" w:hAnsi="Times New Roman" w:cs="Times New Roman"/>
          <w:sz w:val="24"/>
          <w:szCs w:val="24"/>
        </w:rPr>
        <w:t>(</w:t>
      </w:r>
      <w:r w:rsidR="00A36006" w:rsidRPr="00551F7A">
        <w:rPr>
          <w:rFonts w:ascii="Times New Roman" w:hAnsi="Times New Roman" w:cs="Times New Roman"/>
          <w:i/>
          <w:sz w:val="24"/>
          <w:szCs w:val="24"/>
        </w:rPr>
        <w:t>Id</w:t>
      </w:r>
      <w:r w:rsidR="00A36006" w:rsidRPr="006C52AB">
        <w:rPr>
          <w:rFonts w:ascii="Times New Roman" w:hAnsi="Times New Roman" w:cs="Times New Roman"/>
          <w:i/>
          <w:sz w:val="24"/>
          <w:szCs w:val="24"/>
        </w:rPr>
        <w:t>.</w:t>
      </w:r>
      <w:r w:rsidR="00A36006" w:rsidRPr="006C52AB">
        <w:rPr>
          <w:rFonts w:ascii="Times New Roman" w:hAnsi="Times New Roman" w:cs="Times New Roman"/>
          <w:sz w:val="24"/>
          <w:szCs w:val="24"/>
        </w:rPr>
        <w:t>)</w:t>
      </w:r>
    </w:p>
    <w:p w14:paraId="284E0839" w14:textId="77777777" w:rsidR="00956DF3" w:rsidRPr="00CE67D5" w:rsidRDefault="00956DF3" w:rsidP="00956DF3">
      <w:pPr>
        <w:spacing w:after="0" w:line="480" w:lineRule="auto"/>
        <w:ind w:firstLine="720"/>
        <w:contextualSpacing/>
        <w:rPr>
          <w:rFonts w:ascii="Times New Roman" w:hAnsi="Times New Roman"/>
          <w:sz w:val="24"/>
        </w:rPr>
      </w:pPr>
      <w:r>
        <w:rPr>
          <w:rFonts w:ascii="Times New Roman" w:hAnsi="Times New Roman"/>
          <w:sz w:val="24"/>
        </w:rPr>
        <w:t xml:space="preserve">The pleading that OGS has submitted meets the plausibility standard through pleading factual content that provides for more than a slight possibility that Defendant’s Lime and </w:t>
      </w:r>
      <w:proofErr w:type="spellStart"/>
      <w:r>
        <w:rPr>
          <w:rFonts w:ascii="Times New Roman" w:hAnsi="Times New Roman"/>
          <w:sz w:val="24"/>
        </w:rPr>
        <w:t>TinyTV</w:t>
      </w:r>
      <w:proofErr w:type="spellEnd"/>
      <w:r>
        <w:rPr>
          <w:rFonts w:ascii="Times New Roman" w:hAnsi="Times New Roman"/>
          <w:sz w:val="24"/>
        </w:rPr>
        <w:t xml:space="preserve"> have acted unlawfully. For instance, OGS stated within the complaint that there had been a written agreement between OGS and Defendant Lime and quoted word-for-word what that writing had stated. Furthermore, OGS went on to write in the complaint that “</w:t>
      </w:r>
      <w:r w:rsidRPr="005D60DC">
        <w:rPr>
          <w:rFonts w:ascii="Times New Roman" w:hAnsi="Times New Roman" w:cs="Times New Roman"/>
          <w:sz w:val="24"/>
          <w:szCs w:val="24"/>
        </w:rPr>
        <w:t xml:space="preserve">Both parties agree that the screenplays contain identical dialogue, characters, and storylines. </w:t>
      </w:r>
      <w:r>
        <w:rPr>
          <w:rFonts w:ascii="Times New Roman" w:hAnsi="Times New Roman" w:cs="Times New Roman"/>
          <w:sz w:val="24"/>
          <w:szCs w:val="24"/>
        </w:rPr>
        <w:t>(</w:t>
      </w:r>
      <w:proofErr w:type="spellStart"/>
      <w:r>
        <w:rPr>
          <w:rFonts w:ascii="Times New Roman" w:hAnsi="Times New Roman" w:cs="Times New Roman"/>
          <w:sz w:val="24"/>
          <w:szCs w:val="24"/>
        </w:rPr>
        <w:t>Comp</w:t>
      </w:r>
      <w:r w:rsidR="00611246">
        <w:rPr>
          <w:rFonts w:ascii="Times New Roman" w:hAnsi="Times New Roman" w:cs="Times New Roman"/>
          <w:sz w:val="24"/>
          <w:szCs w:val="24"/>
        </w:rPr>
        <w:t>l</w:t>
      </w:r>
      <w:proofErr w:type="spellEnd"/>
      <w:r w:rsidR="00611246">
        <w:rPr>
          <w:rFonts w:ascii="Times New Roman" w:hAnsi="Times New Roman" w:cs="Times New Roman"/>
          <w:sz w:val="24"/>
          <w:szCs w:val="24"/>
        </w:rPr>
        <w:t>. ¶4; Ans.)” The court can draw</w:t>
      </w:r>
      <w:r>
        <w:rPr>
          <w:rFonts w:ascii="Times New Roman" w:hAnsi="Times New Roman" w:cs="Times New Roman"/>
          <w:sz w:val="24"/>
          <w:szCs w:val="24"/>
        </w:rPr>
        <w:t xml:space="preserve"> a reasonable inference that copyright infringement occurred.</w:t>
      </w:r>
    </w:p>
    <w:p w14:paraId="549E383D" w14:textId="77777777" w:rsidR="00A36006" w:rsidRDefault="00A36006" w:rsidP="0018660D">
      <w:pPr>
        <w:autoSpaceDE w:val="0"/>
        <w:autoSpaceDN w:val="0"/>
        <w:adjustRightInd w:val="0"/>
        <w:spacing w:after="0" w:line="480" w:lineRule="auto"/>
        <w:contextualSpacing/>
        <w:rPr>
          <w:rFonts w:ascii="Times New Roman" w:hAnsi="Times New Roman" w:cs="Times New Roman"/>
          <w:b/>
          <w:bCs/>
          <w:color w:val="000000"/>
          <w:sz w:val="24"/>
          <w:szCs w:val="24"/>
        </w:rPr>
      </w:pPr>
    </w:p>
    <w:p w14:paraId="54E06B94" w14:textId="77777777" w:rsidR="00DE3030" w:rsidRPr="005D60DC" w:rsidRDefault="00DE3030" w:rsidP="00DE3030">
      <w:pPr>
        <w:autoSpaceDE w:val="0"/>
        <w:autoSpaceDN w:val="0"/>
        <w:adjustRightInd w:val="0"/>
        <w:spacing w:after="0" w:line="480" w:lineRule="auto"/>
        <w:contextualSpacing/>
        <w:jc w:val="center"/>
        <w:rPr>
          <w:rFonts w:ascii="Times New Roman" w:hAnsi="Times New Roman" w:cs="Times New Roman"/>
          <w:b/>
          <w:bCs/>
          <w:color w:val="000000"/>
          <w:sz w:val="24"/>
          <w:szCs w:val="24"/>
        </w:rPr>
      </w:pPr>
      <w:r w:rsidRPr="005D60DC">
        <w:rPr>
          <w:rFonts w:ascii="Times New Roman" w:hAnsi="Times New Roman" w:cs="Times New Roman"/>
          <w:b/>
          <w:bCs/>
          <w:color w:val="000000"/>
          <w:sz w:val="24"/>
          <w:szCs w:val="24"/>
        </w:rPr>
        <w:t>ARGUMENT</w:t>
      </w:r>
      <w:r w:rsidR="00E62786">
        <w:rPr>
          <w:rFonts w:ascii="Times New Roman" w:hAnsi="Times New Roman" w:cs="Times New Roman"/>
          <w:b/>
          <w:bCs/>
          <w:color w:val="000000"/>
          <w:sz w:val="24"/>
          <w:szCs w:val="24"/>
        </w:rPr>
        <w:t>S</w:t>
      </w:r>
    </w:p>
    <w:p w14:paraId="408BEA6D" w14:textId="77777777" w:rsidR="009B28C5" w:rsidRPr="009B28C5" w:rsidRDefault="009B28C5" w:rsidP="009B28C5">
      <w:pPr>
        <w:pStyle w:val="ListParagraph"/>
        <w:numPr>
          <w:ilvl w:val="0"/>
          <w:numId w:val="17"/>
        </w:numPr>
        <w:rPr>
          <w:rFonts w:eastAsia="Times New Roman" w:cs="Times New Roman"/>
          <w:b/>
          <w:szCs w:val="24"/>
        </w:rPr>
      </w:pPr>
      <w:r w:rsidRPr="009B28C5">
        <w:rPr>
          <w:rFonts w:eastAsia="Times New Roman" w:cs="Times New Roman"/>
          <w:b/>
          <w:szCs w:val="24"/>
        </w:rPr>
        <w:t xml:space="preserve">Plaintiff has a valid work-for-hire under the federal Copyright Act of 1976. </w:t>
      </w:r>
    </w:p>
    <w:p w14:paraId="52AD3362" w14:textId="77777777" w:rsidR="009B28C5" w:rsidRPr="0018660D" w:rsidRDefault="0018660D" w:rsidP="0018660D">
      <w:pPr>
        <w:spacing w:line="480" w:lineRule="auto"/>
        <w:ind w:firstLine="720"/>
        <w:contextualSpacing/>
        <w:rPr>
          <w:rFonts w:ascii="Times New Roman" w:hAnsi="Times New Roman" w:cs="Times New Roman"/>
          <w:sz w:val="24"/>
          <w:szCs w:val="24"/>
        </w:rPr>
      </w:pPr>
      <w:r w:rsidRPr="0018660D">
        <w:rPr>
          <w:rFonts w:ascii="Times New Roman" w:hAnsi="Times New Roman" w:cs="Times New Roman"/>
          <w:sz w:val="24"/>
          <w:szCs w:val="24"/>
        </w:rPr>
        <w:t xml:space="preserve">The court in this case can reasonably conclude the agreement between OGS. </w:t>
      </w:r>
      <w:proofErr w:type="gramStart"/>
      <w:r w:rsidRPr="0018660D">
        <w:rPr>
          <w:rFonts w:ascii="Times New Roman" w:hAnsi="Times New Roman" w:cs="Times New Roman"/>
          <w:sz w:val="24"/>
          <w:szCs w:val="24"/>
        </w:rPr>
        <w:t>and</w:t>
      </w:r>
      <w:proofErr w:type="gramEnd"/>
      <w:r w:rsidRPr="0018660D">
        <w:rPr>
          <w:rFonts w:ascii="Times New Roman" w:hAnsi="Times New Roman" w:cs="Times New Roman"/>
          <w:sz w:val="24"/>
          <w:szCs w:val="24"/>
        </w:rPr>
        <w:t xml:space="preserve"> Defendant Lime was a work made for hire pursuant to the federal Copyright Act of 1976. </w:t>
      </w:r>
      <w:r w:rsidRPr="0018660D">
        <w:rPr>
          <w:rFonts w:ascii="Times New Roman" w:eastAsia="Times New Roman" w:hAnsi="Times New Roman" w:cs="Times New Roman"/>
          <w:sz w:val="24"/>
          <w:szCs w:val="24"/>
        </w:rPr>
        <w:t xml:space="preserve">A plain language reading of </w:t>
      </w:r>
      <w:r w:rsidRPr="0018660D">
        <w:rPr>
          <w:rFonts w:ascii="Times New Roman" w:hAnsi="Times New Roman" w:cs="Times New Roman"/>
          <w:bCs/>
          <w:sz w:val="24"/>
          <w:szCs w:val="24"/>
        </w:rPr>
        <w:t>17 U.S.C. §101 shows that OGS is the copy</w:t>
      </w:r>
      <w:r w:rsidR="009D30B7">
        <w:rPr>
          <w:rFonts w:ascii="Times New Roman" w:hAnsi="Times New Roman" w:cs="Times New Roman"/>
          <w:bCs/>
          <w:sz w:val="24"/>
          <w:szCs w:val="24"/>
        </w:rPr>
        <w:t xml:space="preserve">right owner of the screenplay. </w:t>
      </w:r>
      <w:r w:rsidRPr="0018660D">
        <w:rPr>
          <w:rFonts w:ascii="Times New Roman" w:hAnsi="Times New Roman" w:cs="Times New Roman"/>
          <w:sz w:val="24"/>
          <w:szCs w:val="24"/>
        </w:rPr>
        <w:t xml:space="preserve">The text of 17 </w:t>
      </w:r>
      <w:r w:rsidR="00293EFF">
        <w:rPr>
          <w:rFonts w:ascii="Times New Roman" w:hAnsi="Times New Roman" w:cs="Times New Roman"/>
          <w:sz w:val="24"/>
          <w:szCs w:val="24"/>
        </w:rPr>
        <w:t>U.S.C. § 101 does not expressly</w:t>
      </w:r>
      <w:r w:rsidRPr="0018660D">
        <w:rPr>
          <w:rFonts w:ascii="Times New Roman" w:hAnsi="Times New Roman" w:cs="Times New Roman"/>
          <w:sz w:val="24"/>
          <w:szCs w:val="24"/>
        </w:rPr>
        <w:t xml:space="preserve"> require the writing to be signed prior to the creation of the work made for hire. </w:t>
      </w:r>
      <w:r w:rsidR="00EE178A">
        <w:rPr>
          <w:rFonts w:ascii="Times New Roman" w:hAnsi="Times New Roman" w:cs="Times New Roman"/>
          <w:sz w:val="24"/>
          <w:szCs w:val="24"/>
        </w:rPr>
        <w:t>I</w:t>
      </w:r>
      <w:r w:rsidRPr="0018660D">
        <w:rPr>
          <w:rFonts w:ascii="Times New Roman" w:eastAsia="Times New Roman" w:hAnsi="Times New Roman" w:cs="Times New Roman"/>
          <w:sz w:val="24"/>
          <w:szCs w:val="24"/>
        </w:rPr>
        <w:t xml:space="preserve">t would obstruct congressional intent to hold that the written agreement has to take place prior to the creation of the work.  The legislature has made it clear that their intent was to exclude statutory language proposed by screenwriters that would give the individual authors the ability to retain any rights in the works created. Their goal was to promote certainty and clarity in regards to ownership rights of the employer who commissioned the creative works. </w:t>
      </w:r>
      <w:r w:rsidRPr="0018660D">
        <w:rPr>
          <w:rFonts w:ascii="Times New Roman" w:hAnsi="Times New Roman" w:cs="Times New Roman"/>
          <w:bCs/>
          <w:sz w:val="24"/>
          <w:szCs w:val="24"/>
        </w:rPr>
        <w:t xml:space="preserve">Courts have held that the written and signed agreement does not have to be </w:t>
      </w:r>
      <w:r w:rsidRPr="0018660D">
        <w:rPr>
          <w:rFonts w:ascii="Times New Roman" w:hAnsi="Times New Roman" w:cs="Times New Roman"/>
          <w:bCs/>
          <w:sz w:val="24"/>
          <w:szCs w:val="24"/>
        </w:rPr>
        <w:lastRenderedPageBreak/>
        <w:t xml:space="preserve">generated prior to the creation of the commissioned work. There is extensive case law that illustrates there are compelling arguments for not requiring the writing to be signed before the commissioned work is completed. There are cases that suggest otherwise but the facts of those cases are distinguishable from the facts in the OGS case. </w:t>
      </w:r>
      <w:r w:rsidRPr="0018660D">
        <w:rPr>
          <w:rFonts w:ascii="Times New Roman" w:hAnsi="Times New Roman" w:cs="Times New Roman"/>
          <w:sz w:val="24"/>
          <w:szCs w:val="24"/>
        </w:rPr>
        <w:t>Creation of a rule stipulating that the written agreement must be signed prior to the completion of the screenplay is bad public policy. This is due to significant issues related to reliance on work-for-hire relationships, business practices, current standard business practices, and uncertainty that would be created by this requirement.</w:t>
      </w:r>
    </w:p>
    <w:p w14:paraId="599923FF" w14:textId="77777777" w:rsidR="0018660D" w:rsidRPr="0018660D" w:rsidRDefault="0018660D" w:rsidP="0018660D">
      <w:pPr>
        <w:pStyle w:val="ListParagraph"/>
        <w:rPr>
          <w:rFonts w:cs="Times New Roman"/>
          <w:b/>
          <w:szCs w:val="24"/>
        </w:rPr>
      </w:pPr>
    </w:p>
    <w:p w14:paraId="6306CEF7" w14:textId="77777777" w:rsidR="004D29D6" w:rsidRPr="00B860C2" w:rsidRDefault="00A36006" w:rsidP="0018660D">
      <w:pPr>
        <w:spacing w:line="480" w:lineRule="auto"/>
        <w:contextualSpacing/>
        <w:rPr>
          <w:rFonts w:ascii="Times New Roman" w:hAnsi="Times New Roman" w:cs="Times New Roman"/>
          <w:sz w:val="24"/>
          <w:szCs w:val="24"/>
        </w:rPr>
      </w:pPr>
      <w:r>
        <w:rPr>
          <w:rFonts w:ascii="Times New Roman" w:eastAsia="Times New Roman" w:hAnsi="Times New Roman" w:cs="Times New Roman"/>
          <w:b/>
          <w:sz w:val="24"/>
          <w:szCs w:val="24"/>
        </w:rPr>
        <w:t>A</w:t>
      </w:r>
      <w:r w:rsidR="00F806C3">
        <w:rPr>
          <w:rFonts w:ascii="Times New Roman" w:eastAsia="Times New Roman" w:hAnsi="Times New Roman" w:cs="Times New Roman"/>
          <w:b/>
          <w:sz w:val="24"/>
          <w:szCs w:val="24"/>
        </w:rPr>
        <w:t xml:space="preserve">. </w:t>
      </w:r>
      <w:r w:rsidR="004D29D6">
        <w:rPr>
          <w:rFonts w:ascii="Times New Roman" w:eastAsia="Times New Roman" w:hAnsi="Times New Roman" w:cs="Times New Roman"/>
          <w:b/>
          <w:sz w:val="24"/>
          <w:szCs w:val="24"/>
        </w:rPr>
        <w:t xml:space="preserve">A plain language reading of </w:t>
      </w:r>
      <w:bookmarkStart w:id="24" w:name="CITRUS_BOOKMARK1000000030"/>
      <w:r w:rsidR="004D29D6" w:rsidRPr="00551F7A">
        <w:rPr>
          <w:rFonts w:ascii="Times New Roman" w:hAnsi="Times New Roman" w:cs="Times New Roman"/>
          <w:b/>
          <w:bCs/>
          <w:sz w:val="24"/>
        </w:rPr>
        <w:t>17 U.S.C. §101</w:t>
      </w:r>
      <w:bookmarkEnd w:id="24"/>
      <w:r w:rsidR="004D29D6" w:rsidRPr="00373A48">
        <w:rPr>
          <w:rFonts w:ascii="Times New Roman" w:hAnsi="Times New Roman" w:cs="Times New Roman"/>
          <w:b/>
          <w:bCs/>
          <w:sz w:val="24"/>
        </w:rPr>
        <w:t xml:space="preserve"> </w:t>
      </w:r>
      <w:r w:rsidR="003A18AA">
        <w:rPr>
          <w:rFonts w:ascii="Times New Roman" w:hAnsi="Times New Roman" w:cs="Times New Roman"/>
          <w:b/>
          <w:bCs/>
          <w:sz w:val="24"/>
        </w:rPr>
        <w:t>shows that OGS is the co</w:t>
      </w:r>
      <w:r w:rsidR="00B860C2">
        <w:rPr>
          <w:rFonts w:ascii="Times New Roman" w:hAnsi="Times New Roman" w:cs="Times New Roman"/>
          <w:b/>
          <w:bCs/>
          <w:sz w:val="24"/>
        </w:rPr>
        <w:t>pyright owner of the screenplay as the s</w:t>
      </w:r>
      <w:r w:rsidR="002713B2">
        <w:rPr>
          <w:rFonts w:ascii="Times New Roman" w:hAnsi="Times New Roman" w:cs="Times New Roman"/>
          <w:b/>
          <w:bCs/>
          <w:sz w:val="24"/>
        </w:rPr>
        <w:t xml:space="preserve">tatutory text indicates </w:t>
      </w:r>
      <w:r w:rsidR="00B860C2">
        <w:rPr>
          <w:rFonts w:ascii="Times New Roman" w:hAnsi="Times New Roman" w:cs="Times New Roman"/>
          <w:b/>
          <w:bCs/>
          <w:sz w:val="24"/>
        </w:rPr>
        <w:t>there is no timing requirement for the writing.</w:t>
      </w:r>
    </w:p>
    <w:p w14:paraId="173ED810" w14:textId="77777777" w:rsidR="00BE1471" w:rsidRPr="00DA6658" w:rsidRDefault="0039526A" w:rsidP="0018660D">
      <w:pPr>
        <w:spacing w:after="240" w:line="480" w:lineRule="auto"/>
        <w:ind w:firstLine="720"/>
        <w:contextualSpacing/>
        <w:rPr>
          <w:rFonts w:ascii="Times New Roman" w:eastAsia="Times New Roman" w:hAnsi="Times New Roman" w:cs="Times New Roman"/>
          <w:sz w:val="24"/>
          <w:szCs w:val="24"/>
        </w:rPr>
      </w:pPr>
      <w:r w:rsidRPr="008F5D29">
        <w:rPr>
          <w:rFonts w:ascii="Times New Roman" w:hAnsi="Times New Roman" w:cs="Times New Roman"/>
          <w:sz w:val="24"/>
          <w:szCs w:val="24"/>
        </w:rPr>
        <w:t>In the process of interpreting a statute, the court must look first to the language of the statute. "[</w:t>
      </w:r>
      <w:proofErr w:type="gramStart"/>
      <w:r w:rsidRPr="008F5D29">
        <w:rPr>
          <w:rFonts w:ascii="Times New Roman" w:hAnsi="Times New Roman" w:cs="Times New Roman"/>
          <w:sz w:val="24"/>
          <w:szCs w:val="24"/>
        </w:rPr>
        <w:t>I]n</w:t>
      </w:r>
      <w:proofErr w:type="gramEnd"/>
      <w:r w:rsidRPr="008F5D29">
        <w:rPr>
          <w:rFonts w:ascii="Times New Roman" w:hAnsi="Times New Roman" w:cs="Times New Roman"/>
          <w:sz w:val="24"/>
          <w:szCs w:val="24"/>
        </w:rPr>
        <w:t xml:space="preserve"> interpreting a statute a court should always turn to one cardinal canon before all others. . . .[</w:t>
      </w:r>
      <w:proofErr w:type="gramStart"/>
      <w:r w:rsidRPr="008F5D29">
        <w:rPr>
          <w:rFonts w:ascii="Times New Roman" w:hAnsi="Times New Roman" w:cs="Times New Roman"/>
          <w:sz w:val="24"/>
          <w:szCs w:val="24"/>
        </w:rPr>
        <w:t>C]</w:t>
      </w:r>
      <w:proofErr w:type="spellStart"/>
      <w:r w:rsidRPr="008F5D29">
        <w:rPr>
          <w:rFonts w:ascii="Times New Roman" w:hAnsi="Times New Roman" w:cs="Times New Roman"/>
          <w:sz w:val="24"/>
          <w:szCs w:val="24"/>
        </w:rPr>
        <w:t>ourts</w:t>
      </w:r>
      <w:proofErr w:type="spellEnd"/>
      <w:proofErr w:type="gramEnd"/>
      <w:r w:rsidRPr="008F5D29">
        <w:rPr>
          <w:rFonts w:ascii="Times New Roman" w:hAnsi="Times New Roman" w:cs="Times New Roman"/>
          <w:sz w:val="24"/>
          <w:szCs w:val="24"/>
        </w:rPr>
        <w:t xml:space="preserve"> must presume that a legislature says in a statute what it means and means in a statute what it says there." </w:t>
      </w:r>
      <w:proofErr w:type="gramStart"/>
      <w:r w:rsidRPr="008F5D29">
        <w:rPr>
          <w:rFonts w:ascii="Times New Roman" w:hAnsi="Times New Roman" w:cs="Times New Roman"/>
          <w:i/>
          <w:iCs/>
          <w:sz w:val="24"/>
          <w:szCs w:val="24"/>
        </w:rPr>
        <w:t xml:space="preserve">Conn. Nat'l Bank v. </w:t>
      </w:r>
      <w:proofErr w:type="spellStart"/>
      <w:r w:rsidRPr="008F5D29">
        <w:rPr>
          <w:rFonts w:ascii="Times New Roman" w:hAnsi="Times New Roman" w:cs="Times New Roman"/>
          <w:i/>
          <w:iCs/>
          <w:sz w:val="24"/>
          <w:szCs w:val="24"/>
        </w:rPr>
        <w:t>Germain</w:t>
      </w:r>
      <w:proofErr w:type="spellEnd"/>
      <w:r w:rsidRPr="008F5D29">
        <w:rPr>
          <w:rFonts w:ascii="Times New Roman" w:hAnsi="Times New Roman" w:cs="Times New Roman"/>
          <w:iCs/>
          <w:sz w:val="24"/>
          <w:szCs w:val="24"/>
        </w:rPr>
        <w:t>, 112 S. Ct. 1146, 1149 (1992)</w:t>
      </w:r>
      <w:r w:rsidRPr="008F5D29">
        <w:rPr>
          <w:rFonts w:ascii="Times New Roman" w:hAnsi="Times New Roman" w:cs="Times New Roman"/>
          <w:sz w:val="24"/>
          <w:szCs w:val="24"/>
        </w:rPr>
        <w:t>.</w:t>
      </w:r>
      <w:proofErr w:type="gramEnd"/>
      <w:r w:rsidRPr="008F5D29">
        <w:rPr>
          <w:rFonts w:ascii="Times New Roman" w:hAnsi="Times New Roman" w:cs="Times New Roman"/>
          <w:sz w:val="24"/>
          <w:szCs w:val="24"/>
        </w:rPr>
        <w:t xml:space="preserve"> “[</w:t>
      </w:r>
      <w:proofErr w:type="gramStart"/>
      <w:r w:rsidRPr="008F5D29">
        <w:rPr>
          <w:rFonts w:ascii="Times New Roman" w:hAnsi="Times New Roman" w:cs="Times New Roman"/>
          <w:sz w:val="24"/>
          <w:szCs w:val="24"/>
        </w:rPr>
        <w:t>U]</w:t>
      </w:r>
      <w:proofErr w:type="spellStart"/>
      <w:r w:rsidRPr="008F5D29">
        <w:rPr>
          <w:rFonts w:ascii="Times New Roman" w:hAnsi="Times New Roman" w:cs="Times New Roman"/>
          <w:sz w:val="24"/>
          <w:szCs w:val="24"/>
        </w:rPr>
        <w:t>nless</w:t>
      </w:r>
      <w:proofErr w:type="spellEnd"/>
      <w:proofErr w:type="gramEnd"/>
      <w:r w:rsidRPr="008F5D29">
        <w:rPr>
          <w:rFonts w:ascii="Times New Roman" w:hAnsi="Times New Roman" w:cs="Times New Roman"/>
          <w:sz w:val="24"/>
          <w:szCs w:val="24"/>
        </w:rPr>
        <w:t xml:space="preserve"> otherwise defined, words will be interpreted as taking their ordinary, contemporary, common meaning.” </w:t>
      </w:r>
      <w:proofErr w:type="gramStart"/>
      <w:r w:rsidRPr="008F5D29">
        <w:rPr>
          <w:rFonts w:ascii="Times New Roman" w:hAnsi="Times New Roman" w:cs="Times New Roman"/>
          <w:i/>
          <w:sz w:val="24"/>
          <w:szCs w:val="24"/>
        </w:rPr>
        <w:t>Perrin v. United States</w:t>
      </w:r>
      <w:r w:rsidRPr="008F5D29">
        <w:rPr>
          <w:rFonts w:ascii="Times New Roman" w:hAnsi="Times New Roman" w:cs="Times New Roman"/>
          <w:sz w:val="24"/>
          <w:szCs w:val="24"/>
        </w:rPr>
        <w:t>, 444 U.S. 37, 42 (1979).</w:t>
      </w:r>
      <w:proofErr w:type="gramEnd"/>
      <w:r w:rsidRPr="008F5D29">
        <w:rPr>
          <w:rFonts w:ascii="Times New Roman" w:hAnsi="Times New Roman" w:cs="Times New Roman"/>
          <w:sz w:val="24"/>
          <w:szCs w:val="24"/>
        </w:rPr>
        <w:t xml:space="preserve"> </w:t>
      </w:r>
      <w:r w:rsidRPr="008F5D29">
        <w:rPr>
          <w:rFonts w:ascii="Times New Roman" w:eastAsia="Times New Roman" w:hAnsi="Times New Roman" w:cs="Times New Roman"/>
          <w:sz w:val="24"/>
          <w:szCs w:val="24"/>
        </w:rPr>
        <w:t>A court’s inquiry must begin with the text of the statute itself, and ends there if the statute’s text is not ambiguous.</w:t>
      </w:r>
      <w:r w:rsidR="00A36006" w:rsidRPr="00A36006">
        <w:rPr>
          <w:rFonts w:ascii="Times New Roman" w:eastAsia="Times New Roman" w:hAnsi="Times New Roman" w:cs="Times New Roman"/>
          <w:sz w:val="24"/>
          <w:szCs w:val="24"/>
        </w:rPr>
        <w:t xml:space="preserve"> </w:t>
      </w:r>
      <w:proofErr w:type="spellStart"/>
      <w:r w:rsidR="00A36006" w:rsidRPr="00A36006">
        <w:rPr>
          <w:rFonts w:ascii="Times New Roman" w:eastAsia="Times New Roman" w:hAnsi="Times New Roman" w:cs="Times New Roman"/>
          <w:i/>
          <w:sz w:val="24"/>
          <w:szCs w:val="24"/>
        </w:rPr>
        <w:t>BedRoc</w:t>
      </w:r>
      <w:proofErr w:type="spellEnd"/>
      <w:r w:rsidR="00A36006" w:rsidRPr="00A36006">
        <w:rPr>
          <w:rFonts w:ascii="Times New Roman" w:eastAsia="Times New Roman" w:hAnsi="Times New Roman" w:cs="Times New Roman"/>
          <w:i/>
          <w:sz w:val="24"/>
          <w:szCs w:val="24"/>
        </w:rPr>
        <w:t xml:space="preserve"> Ltd., LLC v. United States</w:t>
      </w:r>
      <w:r w:rsidR="003A1641">
        <w:rPr>
          <w:rFonts w:ascii="Times New Roman" w:eastAsia="Times New Roman" w:hAnsi="Times New Roman" w:cs="Times New Roman"/>
          <w:sz w:val="24"/>
          <w:szCs w:val="24"/>
        </w:rPr>
        <w:t xml:space="preserve">, 541 U.S. 176, 183 </w:t>
      </w:r>
      <w:r w:rsidR="00A36006" w:rsidRPr="00A36006">
        <w:rPr>
          <w:rFonts w:ascii="Times New Roman" w:eastAsia="Times New Roman" w:hAnsi="Times New Roman" w:cs="Times New Roman"/>
          <w:sz w:val="24"/>
          <w:szCs w:val="24"/>
        </w:rPr>
        <w:t>(2004)</w:t>
      </w:r>
      <w:r w:rsidRPr="008F5D29">
        <w:rPr>
          <w:rFonts w:ascii="Times New Roman" w:eastAsia="Times New Roman" w:hAnsi="Times New Roman" w:cs="Times New Roman"/>
          <w:sz w:val="24"/>
          <w:szCs w:val="24"/>
        </w:rPr>
        <w:t>.</w:t>
      </w:r>
      <w:r w:rsidR="00DA6658">
        <w:rPr>
          <w:rFonts w:ascii="Times New Roman" w:eastAsia="Times New Roman" w:hAnsi="Times New Roman" w:cs="Times New Roman"/>
          <w:sz w:val="24"/>
          <w:szCs w:val="24"/>
        </w:rPr>
        <w:t xml:space="preserve"> </w:t>
      </w:r>
      <w:r w:rsidR="00145C27" w:rsidRPr="00113BB5">
        <w:rPr>
          <w:rFonts w:ascii="Times New Roman" w:hAnsi="Times New Roman" w:cs="Times New Roman"/>
          <w:bCs/>
          <w:sz w:val="24"/>
          <w:szCs w:val="24"/>
        </w:rPr>
        <w:t>Even if Lime was not an employee within the scope of</w:t>
      </w:r>
      <w:r w:rsidR="00145C27">
        <w:rPr>
          <w:rFonts w:ascii="Times New Roman" w:hAnsi="Times New Roman" w:cs="Times New Roman"/>
          <w:bCs/>
          <w:sz w:val="24"/>
          <w:szCs w:val="24"/>
        </w:rPr>
        <w:t xml:space="preserve"> </w:t>
      </w:r>
      <w:bookmarkStart w:id="25" w:name="CITRUS_BOOKMARK1000000031"/>
      <w:r w:rsidR="00145C27" w:rsidRPr="00551F7A">
        <w:rPr>
          <w:rFonts w:ascii="Times New Roman" w:hAnsi="Times New Roman" w:cs="Times New Roman"/>
          <w:color w:val="000000"/>
          <w:sz w:val="24"/>
          <w:szCs w:val="24"/>
        </w:rPr>
        <w:t xml:space="preserve">17 U.S.C. § 101 </w:t>
      </w:r>
      <w:r w:rsidR="00145C27" w:rsidRPr="00551F7A">
        <w:rPr>
          <w:rFonts w:ascii="Times New Roman" w:hAnsi="Times New Roman" w:cs="Times New Roman"/>
          <w:bCs/>
          <w:color w:val="000000"/>
          <w:sz w:val="24"/>
          <w:szCs w:val="24"/>
        </w:rPr>
        <w:t>(1)</w:t>
      </w:r>
      <w:bookmarkEnd w:id="25"/>
      <w:r w:rsidR="00145C27" w:rsidRPr="00113BB5">
        <w:rPr>
          <w:rFonts w:ascii="Times New Roman" w:hAnsi="Times New Roman" w:cs="Times New Roman"/>
          <w:bCs/>
          <w:sz w:val="24"/>
          <w:szCs w:val="24"/>
        </w:rPr>
        <w:t>, the written agreement between the parties is sufficient to establish that Plaintiff has ownership of all of the rights comprised in the copyright</w:t>
      </w:r>
      <w:r w:rsidR="00145C27">
        <w:rPr>
          <w:rFonts w:ascii="Times New Roman" w:hAnsi="Times New Roman" w:cs="Times New Roman"/>
          <w:bCs/>
          <w:sz w:val="24"/>
          <w:szCs w:val="24"/>
        </w:rPr>
        <w:t xml:space="preserve"> per </w:t>
      </w:r>
      <w:bookmarkStart w:id="26" w:name="CITRUS_BOOKMARK1000000032"/>
      <w:r w:rsidR="00145C27" w:rsidRPr="00551F7A">
        <w:rPr>
          <w:rFonts w:ascii="Times New Roman" w:hAnsi="Times New Roman" w:cs="Times New Roman"/>
          <w:color w:val="000000"/>
          <w:sz w:val="24"/>
          <w:szCs w:val="24"/>
        </w:rPr>
        <w:t xml:space="preserve">17 U.S.C. § 101 </w:t>
      </w:r>
      <w:r w:rsidR="00145C27" w:rsidRPr="00551F7A">
        <w:rPr>
          <w:rFonts w:ascii="Times New Roman" w:hAnsi="Times New Roman" w:cs="Times New Roman"/>
          <w:bCs/>
          <w:color w:val="000000"/>
          <w:sz w:val="24"/>
          <w:szCs w:val="24"/>
        </w:rPr>
        <w:t>(2)</w:t>
      </w:r>
      <w:bookmarkEnd w:id="26"/>
      <w:r w:rsidR="00145C27" w:rsidRPr="00113BB5">
        <w:rPr>
          <w:rFonts w:ascii="Times New Roman" w:hAnsi="Times New Roman" w:cs="Times New Roman"/>
          <w:bCs/>
          <w:sz w:val="24"/>
          <w:szCs w:val="24"/>
        </w:rPr>
        <w:t>.</w:t>
      </w:r>
      <w:r w:rsidR="00D4398C">
        <w:rPr>
          <w:rFonts w:ascii="Times New Roman" w:hAnsi="Times New Roman" w:cs="Times New Roman"/>
          <w:bCs/>
          <w:sz w:val="24"/>
          <w:szCs w:val="24"/>
        </w:rPr>
        <w:t xml:space="preserve"> The issue </w:t>
      </w:r>
      <w:r w:rsidR="00145C27">
        <w:rPr>
          <w:rFonts w:ascii="Times New Roman" w:hAnsi="Times New Roman" w:cs="Times New Roman"/>
          <w:bCs/>
          <w:sz w:val="24"/>
          <w:szCs w:val="24"/>
        </w:rPr>
        <w:t xml:space="preserve">becomes whether a written agreement is valid before, during, or after the creation of the commissioned work. </w:t>
      </w:r>
      <w:r w:rsidR="00BE1471" w:rsidRPr="00F806C3">
        <w:rPr>
          <w:rFonts w:ascii="Times New Roman" w:hAnsi="Times New Roman" w:cs="Times New Roman"/>
          <w:color w:val="000000"/>
          <w:sz w:val="24"/>
          <w:szCs w:val="24"/>
        </w:rPr>
        <w:t xml:space="preserve">The federal Copyright Act of 1976, </w:t>
      </w:r>
      <w:bookmarkStart w:id="27" w:name="CITRUS_BOOKMARK1000000033"/>
      <w:r w:rsidR="00BE1471" w:rsidRPr="00551F7A">
        <w:rPr>
          <w:rFonts w:ascii="Times New Roman" w:hAnsi="Times New Roman" w:cs="Times New Roman"/>
          <w:color w:val="000000"/>
          <w:sz w:val="24"/>
          <w:szCs w:val="24"/>
        </w:rPr>
        <w:t>17 U.S.C.  § 101</w:t>
      </w:r>
      <w:bookmarkEnd w:id="27"/>
      <w:r w:rsidR="00BE1471" w:rsidRPr="00F806C3">
        <w:rPr>
          <w:rFonts w:ascii="Times New Roman" w:hAnsi="Times New Roman" w:cs="Times New Roman"/>
          <w:color w:val="000000"/>
          <w:sz w:val="24"/>
          <w:szCs w:val="24"/>
        </w:rPr>
        <w:t xml:space="preserve"> states: </w:t>
      </w:r>
    </w:p>
    <w:p w14:paraId="60F39ABA" w14:textId="77777777" w:rsidR="00BE1471" w:rsidRPr="009B28C5" w:rsidRDefault="000B69D5" w:rsidP="000B69D5">
      <w:pPr>
        <w:autoSpaceDE w:val="0"/>
        <w:autoSpaceDN w:val="0"/>
        <w:adjustRightInd w:val="0"/>
        <w:spacing w:line="240" w:lineRule="auto"/>
        <w:ind w:left="720" w:right="720"/>
        <w:contextualSpacing/>
        <w:rPr>
          <w:rFonts w:ascii="Times New Roman" w:hAnsi="Times New Roman" w:cs="Times New Roman"/>
          <w:sz w:val="24"/>
          <w:szCs w:val="24"/>
        </w:rPr>
      </w:pPr>
      <w:r w:rsidRPr="009B28C5">
        <w:rPr>
          <w:rFonts w:ascii="Times New Roman" w:hAnsi="Times New Roman" w:cs="Times New Roman"/>
          <w:sz w:val="24"/>
          <w:szCs w:val="24"/>
        </w:rPr>
        <w:lastRenderedPageBreak/>
        <w:t xml:space="preserve">A </w:t>
      </w:r>
      <w:r w:rsidR="00BE1471" w:rsidRPr="009B28C5">
        <w:rPr>
          <w:rFonts w:ascii="Times New Roman" w:hAnsi="Times New Roman" w:cs="Times New Roman"/>
          <w:sz w:val="24"/>
          <w:szCs w:val="24"/>
        </w:rPr>
        <w:t>"work made for hire" is--</w:t>
      </w:r>
      <w:r w:rsidR="00BE1471" w:rsidRPr="009B28C5">
        <w:rPr>
          <w:rFonts w:ascii="Times New Roman" w:hAnsi="Times New Roman" w:cs="Times New Roman"/>
          <w:sz w:val="24"/>
          <w:szCs w:val="24"/>
        </w:rPr>
        <w:br/>
        <w:t>(1) a work prepared by an employee within the scope of his or her employment; or</w:t>
      </w:r>
      <w:r w:rsidR="00BE1471" w:rsidRPr="009B28C5">
        <w:rPr>
          <w:rFonts w:ascii="Times New Roman" w:hAnsi="Times New Roman" w:cs="Times New Roman"/>
          <w:sz w:val="24"/>
          <w:szCs w:val="24"/>
        </w:rPr>
        <w:br/>
        <w:t xml:space="preserve">(2) 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 </w:t>
      </w:r>
    </w:p>
    <w:p w14:paraId="7C83C542" w14:textId="77777777" w:rsidR="00BE1471" w:rsidRPr="00F806C3" w:rsidRDefault="00BE1471" w:rsidP="00BE1471">
      <w:pPr>
        <w:autoSpaceDE w:val="0"/>
        <w:autoSpaceDN w:val="0"/>
        <w:adjustRightInd w:val="0"/>
        <w:spacing w:line="240" w:lineRule="auto"/>
        <w:ind w:left="360"/>
        <w:contextualSpacing/>
        <w:rPr>
          <w:rFonts w:ascii="Times New Roman" w:hAnsi="Times New Roman" w:cs="Times New Roman"/>
          <w:i/>
          <w:sz w:val="24"/>
          <w:szCs w:val="24"/>
        </w:rPr>
      </w:pPr>
    </w:p>
    <w:p w14:paraId="66336032" w14:textId="77777777" w:rsidR="00BE1471" w:rsidRPr="00D14515" w:rsidRDefault="00FE226C" w:rsidP="00BE1471">
      <w:pPr>
        <w:spacing w:line="480" w:lineRule="auto"/>
        <w:contextualSpacing/>
        <w:rPr>
          <w:rFonts w:ascii="Times New Roman" w:hAnsi="Times New Roman" w:cs="Times New Roman"/>
          <w:sz w:val="24"/>
          <w:szCs w:val="24"/>
        </w:rPr>
      </w:pPr>
      <w:bookmarkStart w:id="28" w:name="CITRUS_BOOKMARK1000000034"/>
      <w:r>
        <w:rPr>
          <w:rFonts w:ascii="Times New Roman" w:hAnsi="Times New Roman" w:cs="Times New Roman"/>
          <w:sz w:val="24"/>
          <w:szCs w:val="24"/>
        </w:rPr>
        <w:t>17 U.S.C.</w:t>
      </w:r>
      <w:r w:rsidR="00BE1471" w:rsidRPr="00551F7A">
        <w:rPr>
          <w:rFonts w:ascii="Times New Roman" w:hAnsi="Times New Roman" w:cs="Times New Roman"/>
          <w:sz w:val="24"/>
          <w:szCs w:val="24"/>
        </w:rPr>
        <w:t xml:space="preserve"> § 201</w:t>
      </w:r>
      <w:bookmarkEnd w:id="28"/>
      <w:r w:rsidR="00BE1471" w:rsidRPr="00F806C3">
        <w:rPr>
          <w:rFonts w:ascii="Times New Roman" w:hAnsi="Times New Roman" w:cs="Times New Roman"/>
          <w:bCs/>
          <w:sz w:val="24"/>
          <w:szCs w:val="24"/>
        </w:rPr>
        <w:t xml:space="preserve"> addresses the ownership rights of works made for hire, “</w:t>
      </w:r>
      <w:r w:rsidR="00BE1471" w:rsidRPr="00F806C3">
        <w:rPr>
          <w:rFonts w:ascii="Times New Roman" w:hAnsi="Times New Roman" w:cs="Times New Roman"/>
          <w:sz w:val="24"/>
          <w:szCs w:val="24"/>
        </w:rPr>
        <w:t xml:space="preserve">In the case of a work made for </w:t>
      </w:r>
      <w:r w:rsidR="00BE1471" w:rsidRPr="00D14515">
        <w:rPr>
          <w:rFonts w:ascii="Times New Roman" w:hAnsi="Times New Roman" w:cs="Times New Roman"/>
          <w:sz w:val="24"/>
          <w:szCs w:val="24"/>
        </w:rPr>
        <w:t>hire, the employer or other person for whom the work was prepared is considered the author for purposes of this title, and, unless the parties have expressly agreed otherwise in a written instrument signed by them, owns all of the rights comprised in the copyright</w:t>
      </w:r>
      <w:r>
        <w:rPr>
          <w:rFonts w:ascii="Times New Roman" w:hAnsi="Times New Roman" w:cs="Times New Roman"/>
          <w:sz w:val="24"/>
          <w:szCs w:val="24"/>
        </w:rPr>
        <w:t xml:space="preserve">.” </w:t>
      </w:r>
      <w:proofErr w:type="gramStart"/>
      <w:r w:rsidRPr="00551F7A">
        <w:rPr>
          <w:rFonts w:ascii="Times New Roman" w:hAnsi="Times New Roman" w:cs="Times New Roman"/>
          <w:sz w:val="24"/>
          <w:szCs w:val="24"/>
        </w:rPr>
        <w:t>17 U</w:t>
      </w:r>
      <w:r>
        <w:rPr>
          <w:rFonts w:ascii="Times New Roman" w:hAnsi="Times New Roman" w:cs="Times New Roman"/>
          <w:sz w:val="24"/>
          <w:szCs w:val="24"/>
        </w:rPr>
        <w:t>.</w:t>
      </w:r>
      <w:r w:rsidRPr="00551F7A">
        <w:rPr>
          <w:rFonts w:ascii="Times New Roman" w:hAnsi="Times New Roman" w:cs="Times New Roman"/>
          <w:sz w:val="24"/>
          <w:szCs w:val="24"/>
        </w:rPr>
        <w:t>S</w:t>
      </w:r>
      <w:r>
        <w:rPr>
          <w:rFonts w:ascii="Times New Roman" w:hAnsi="Times New Roman" w:cs="Times New Roman"/>
          <w:sz w:val="24"/>
          <w:szCs w:val="24"/>
        </w:rPr>
        <w:t>.</w:t>
      </w:r>
      <w:r w:rsidRPr="00551F7A">
        <w:rPr>
          <w:rFonts w:ascii="Times New Roman" w:hAnsi="Times New Roman" w:cs="Times New Roman"/>
          <w:sz w:val="24"/>
          <w:szCs w:val="24"/>
        </w:rPr>
        <w:t>C</w:t>
      </w:r>
      <w:r>
        <w:rPr>
          <w:rFonts w:ascii="Times New Roman" w:hAnsi="Times New Roman" w:cs="Times New Roman"/>
          <w:sz w:val="24"/>
          <w:szCs w:val="24"/>
        </w:rPr>
        <w:t>.</w:t>
      </w:r>
      <w:r w:rsidRPr="00551F7A">
        <w:rPr>
          <w:rFonts w:ascii="Times New Roman" w:hAnsi="Times New Roman" w:cs="Times New Roman"/>
          <w:sz w:val="24"/>
          <w:szCs w:val="24"/>
        </w:rPr>
        <w:t xml:space="preserve"> § 201</w:t>
      </w:r>
      <w:r w:rsidR="009B28C5">
        <w:rPr>
          <w:rFonts w:ascii="Times New Roman" w:hAnsi="Times New Roman" w:cs="Times New Roman"/>
          <w:sz w:val="24"/>
          <w:szCs w:val="24"/>
        </w:rPr>
        <w:t xml:space="preserve"> (2006</w:t>
      </w:r>
      <w:r>
        <w:rPr>
          <w:rFonts w:ascii="Times New Roman" w:hAnsi="Times New Roman" w:cs="Times New Roman"/>
          <w:sz w:val="24"/>
          <w:szCs w:val="24"/>
        </w:rPr>
        <w:t>).</w:t>
      </w:r>
      <w:proofErr w:type="gramEnd"/>
      <w:r w:rsidR="00447FDF">
        <w:rPr>
          <w:rFonts w:ascii="Times New Roman" w:hAnsi="Times New Roman" w:cs="Times New Roman"/>
          <w:sz w:val="24"/>
          <w:szCs w:val="24"/>
        </w:rPr>
        <w:t xml:space="preserve"> Section 409…</w:t>
      </w:r>
    </w:p>
    <w:p w14:paraId="5BFE5BAB" w14:textId="77777777" w:rsidR="00D14515" w:rsidRPr="00C13B38" w:rsidRDefault="00D14515" w:rsidP="00C13B38">
      <w:pPr>
        <w:autoSpaceDE w:val="0"/>
        <w:autoSpaceDN w:val="0"/>
        <w:adjustRightInd w:val="0"/>
        <w:spacing w:after="0" w:line="480" w:lineRule="auto"/>
        <w:ind w:firstLine="720"/>
        <w:contextualSpacing/>
        <w:rPr>
          <w:rFonts w:ascii="Times New Roman" w:hAnsi="Times New Roman" w:cs="Times New Roman"/>
          <w:sz w:val="24"/>
          <w:szCs w:val="24"/>
        </w:rPr>
      </w:pPr>
      <w:r w:rsidRPr="00C13B38">
        <w:rPr>
          <w:rFonts w:ascii="Times New Roman" w:hAnsi="Times New Roman" w:cs="Times New Roman"/>
          <w:sz w:val="24"/>
          <w:szCs w:val="24"/>
        </w:rPr>
        <w:t>Thus, “[</w:t>
      </w:r>
      <w:proofErr w:type="gramStart"/>
      <w:r w:rsidRPr="00C13B38">
        <w:rPr>
          <w:rFonts w:ascii="Times New Roman" w:hAnsi="Times New Roman" w:cs="Times New Roman"/>
          <w:sz w:val="24"/>
          <w:szCs w:val="24"/>
        </w:rPr>
        <w:t>a]s</w:t>
      </w:r>
      <w:proofErr w:type="gramEnd"/>
      <w:r w:rsidRPr="00C13B38">
        <w:rPr>
          <w:rFonts w:ascii="Times New Roman" w:hAnsi="Times New Roman" w:cs="Times New Roman"/>
          <w:sz w:val="24"/>
          <w:szCs w:val="24"/>
        </w:rPr>
        <w:t xml:space="preserve"> a general rule, the author is the party who actually creates the work.”</w:t>
      </w:r>
    </w:p>
    <w:p w14:paraId="480F927A" w14:textId="77777777" w:rsidR="00D14515" w:rsidRPr="00C13B38" w:rsidRDefault="001B558C" w:rsidP="00B860C2">
      <w:pPr>
        <w:autoSpaceDE w:val="0"/>
        <w:autoSpaceDN w:val="0"/>
        <w:adjustRightInd w:val="0"/>
        <w:spacing w:after="0" w:line="480" w:lineRule="auto"/>
        <w:contextualSpacing/>
        <w:rPr>
          <w:rFonts w:ascii="Times New Roman" w:hAnsi="Times New Roman" w:cs="Times New Roman"/>
          <w:sz w:val="24"/>
          <w:szCs w:val="24"/>
        </w:rPr>
      </w:pPr>
      <w:bookmarkStart w:id="29" w:name="CITRUS_BOOKMARK35"/>
      <w:proofErr w:type="spellStart"/>
      <w:r w:rsidRPr="00551F7A">
        <w:rPr>
          <w:rFonts w:ascii="Times New Roman" w:hAnsi="Times New Roman" w:cs="Times New Roman"/>
          <w:i/>
          <w:sz w:val="24"/>
          <w:szCs w:val="24"/>
        </w:rPr>
        <w:t>Cmty</w:t>
      </w:r>
      <w:proofErr w:type="spellEnd"/>
      <w:r w:rsidRPr="00551F7A">
        <w:rPr>
          <w:rFonts w:ascii="Times New Roman" w:hAnsi="Times New Roman" w:cs="Times New Roman"/>
          <w:i/>
          <w:sz w:val="24"/>
          <w:szCs w:val="24"/>
        </w:rPr>
        <w:t xml:space="preserve">. </w:t>
      </w:r>
      <w:proofErr w:type="gramStart"/>
      <w:r w:rsidRPr="00551F7A">
        <w:rPr>
          <w:rFonts w:ascii="Times New Roman" w:hAnsi="Times New Roman" w:cs="Times New Roman"/>
          <w:i/>
          <w:sz w:val="24"/>
          <w:szCs w:val="24"/>
        </w:rPr>
        <w:t>for</w:t>
      </w:r>
      <w:proofErr w:type="gramEnd"/>
      <w:r w:rsidRPr="00551F7A">
        <w:rPr>
          <w:rFonts w:ascii="Times New Roman" w:hAnsi="Times New Roman" w:cs="Times New Roman"/>
          <w:i/>
          <w:sz w:val="24"/>
          <w:szCs w:val="24"/>
        </w:rPr>
        <w:t xml:space="preserve"> Creative Non-Violence v. Reid</w:t>
      </w:r>
      <w:r w:rsidRPr="00551F7A">
        <w:rPr>
          <w:rFonts w:ascii="Times New Roman" w:hAnsi="Times New Roman" w:cs="Times New Roman"/>
          <w:sz w:val="24"/>
          <w:szCs w:val="24"/>
        </w:rPr>
        <w:t>, 490 U.S. 730, 737 (1989)</w:t>
      </w:r>
      <w:bookmarkEnd w:id="29"/>
      <w:r w:rsidR="00D14515" w:rsidRPr="00C13B38">
        <w:rPr>
          <w:rFonts w:ascii="Times New Roman" w:hAnsi="Times New Roman" w:cs="Times New Roman"/>
          <w:sz w:val="24"/>
          <w:szCs w:val="24"/>
        </w:rPr>
        <w:t>.</w:t>
      </w:r>
      <w:r w:rsidR="00C13B38" w:rsidRPr="00C13B38">
        <w:rPr>
          <w:rFonts w:ascii="Times New Roman" w:hAnsi="Times New Roman" w:cs="Times New Roman"/>
          <w:sz w:val="24"/>
          <w:szCs w:val="24"/>
        </w:rPr>
        <w:t xml:space="preserve"> Congress devised an exception for works made for hire. If the work is “made for hire, the employer or other person for whom the work was prepared is considered the author . . . and, unless the parties have expressly agreed otherwise in a written instrument signed by them, owns all of the rights comprised in the copyright.” </w:t>
      </w:r>
      <w:bookmarkStart w:id="30" w:name="CITRUS_BOOKMARK36"/>
      <w:proofErr w:type="gramStart"/>
      <w:r w:rsidR="00C13B38" w:rsidRPr="00551F7A">
        <w:rPr>
          <w:rFonts w:ascii="Times New Roman" w:hAnsi="Times New Roman" w:cs="Times New Roman"/>
          <w:sz w:val="24"/>
          <w:szCs w:val="24"/>
        </w:rPr>
        <w:t>17 U.S.C. §</w:t>
      </w:r>
      <w:r w:rsidRPr="00551F7A">
        <w:rPr>
          <w:rFonts w:ascii="Times New Roman" w:hAnsi="Times New Roman" w:cs="Times New Roman"/>
          <w:sz w:val="24"/>
          <w:szCs w:val="24"/>
        </w:rPr>
        <w:t> 201(b) (2006)</w:t>
      </w:r>
      <w:bookmarkEnd w:id="30"/>
      <w:r w:rsidR="00C13B38" w:rsidRPr="00C13B38">
        <w:rPr>
          <w:rFonts w:ascii="Times New Roman" w:hAnsi="Times New Roman" w:cs="Times New Roman"/>
          <w:sz w:val="24"/>
          <w:szCs w:val="24"/>
        </w:rPr>
        <w:t>.</w:t>
      </w:r>
      <w:proofErr w:type="gramEnd"/>
      <w:r w:rsidR="00C13B38" w:rsidRPr="00C13B38">
        <w:rPr>
          <w:rFonts w:ascii="Times New Roman" w:hAnsi="Times New Roman" w:cs="Times New Roman"/>
          <w:sz w:val="24"/>
          <w:szCs w:val="24"/>
        </w:rPr>
        <w:t xml:space="preserve"> Essentially, if parties agree to create a work-made-for-hire, the employer or commissioning party owns the copyright. </w:t>
      </w:r>
      <w:bookmarkStart w:id="31" w:name="CITRUS_BOOKMARK37"/>
      <w:r w:rsidRPr="00551F7A">
        <w:rPr>
          <w:rFonts w:ascii="Times New Roman" w:hAnsi="Times New Roman" w:cs="Times New Roman"/>
          <w:i/>
          <w:sz w:val="24"/>
          <w:szCs w:val="24"/>
        </w:rPr>
        <w:t>Playboy Enters. v. Dumas</w:t>
      </w:r>
      <w:r w:rsidRPr="00551F7A">
        <w:rPr>
          <w:rFonts w:ascii="Times New Roman" w:hAnsi="Times New Roman" w:cs="Times New Roman"/>
          <w:sz w:val="24"/>
          <w:szCs w:val="24"/>
        </w:rPr>
        <w:t>, 53 F.3d 549, 554 (2d Cir. 1995)</w:t>
      </w:r>
      <w:bookmarkEnd w:id="31"/>
      <w:r w:rsidR="00551F7A">
        <w:rPr>
          <w:rFonts w:ascii="Times New Roman" w:hAnsi="Times New Roman" w:cs="Times New Roman"/>
          <w:i/>
          <w:sz w:val="24"/>
          <w:szCs w:val="24"/>
        </w:rPr>
        <w:t xml:space="preserve"> </w:t>
      </w:r>
    </w:p>
    <w:p w14:paraId="1873269E" w14:textId="77777777" w:rsidR="0047377C" w:rsidRDefault="003F7781" w:rsidP="00721C1C">
      <w:pPr>
        <w:autoSpaceDE w:val="0"/>
        <w:autoSpaceDN w:val="0"/>
        <w:adjustRightInd w:val="0"/>
        <w:spacing w:after="0" w:line="480" w:lineRule="auto"/>
        <w:ind w:firstLine="720"/>
        <w:contextualSpacing/>
        <w:rPr>
          <w:rFonts w:ascii="Times New Roman" w:hAnsi="Times New Roman" w:cs="Times New Roman"/>
          <w:sz w:val="24"/>
          <w:szCs w:val="24"/>
        </w:rPr>
      </w:pPr>
      <w:r w:rsidRPr="002A5E27">
        <w:rPr>
          <w:rFonts w:ascii="Times New Roman" w:hAnsi="Times New Roman" w:cs="Times New Roman"/>
          <w:sz w:val="24"/>
          <w:szCs w:val="24"/>
        </w:rPr>
        <w:t xml:space="preserve">The text of </w:t>
      </w:r>
      <w:bookmarkStart w:id="32" w:name="CITRUS_BOOKMARK40"/>
      <w:r w:rsidR="002A5E27" w:rsidRPr="00551F7A">
        <w:rPr>
          <w:rFonts w:ascii="Times New Roman" w:hAnsi="Times New Roman" w:cs="Times New Roman"/>
          <w:sz w:val="24"/>
          <w:szCs w:val="24"/>
        </w:rPr>
        <w:t>17 U.S.C. §</w:t>
      </w:r>
      <w:r w:rsidR="001B558C" w:rsidRPr="00551F7A">
        <w:rPr>
          <w:rFonts w:ascii="Times New Roman" w:hAnsi="Times New Roman" w:cs="Times New Roman"/>
          <w:sz w:val="24"/>
          <w:szCs w:val="24"/>
        </w:rPr>
        <w:t> 101</w:t>
      </w:r>
      <w:bookmarkEnd w:id="32"/>
      <w:r w:rsidR="002A5E27" w:rsidRPr="002A5E27">
        <w:rPr>
          <w:rFonts w:ascii="Times New Roman" w:hAnsi="Times New Roman" w:cs="Times New Roman"/>
          <w:sz w:val="24"/>
          <w:szCs w:val="24"/>
        </w:rPr>
        <w:t xml:space="preserve"> </w:t>
      </w:r>
      <w:r w:rsidRPr="002A5E27">
        <w:rPr>
          <w:rFonts w:ascii="Times New Roman" w:hAnsi="Times New Roman" w:cs="Times New Roman"/>
          <w:sz w:val="24"/>
          <w:szCs w:val="24"/>
        </w:rPr>
        <w:t>does not explicitly require the writing to be signed prior to the creation of the work made for hire</w:t>
      </w:r>
      <w:r w:rsidR="0040398C">
        <w:rPr>
          <w:rFonts w:ascii="Times New Roman" w:hAnsi="Times New Roman" w:cs="Times New Roman"/>
          <w:sz w:val="24"/>
          <w:szCs w:val="24"/>
        </w:rPr>
        <w:t xml:space="preserve">. It </w:t>
      </w:r>
      <w:r w:rsidRPr="002A5E27">
        <w:rPr>
          <w:rFonts w:ascii="Times New Roman" w:hAnsi="Times New Roman" w:cs="Times New Roman"/>
          <w:sz w:val="24"/>
          <w:szCs w:val="24"/>
        </w:rPr>
        <w:t xml:space="preserve">states that works are works for hire if they are </w:t>
      </w:r>
      <w:r w:rsidR="00C13B38" w:rsidRPr="002A5E27">
        <w:rPr>
          <w:rFonts w:ascii="Times New Roman" w:hAnsi="Times New Roman" w:cs="Times New Roman"/>
          <w:sz w:val="24"/>
          <w:szCs w:val="24"/>
        </w:rPr>
        <w:t>“</w:t>
      </w:r>
      <w:r w:rsidRPr="002A5E27">
        <w:rPr>
          <w:rFonts w:ascii="Times New Roman" w:hAnsi="Times New Roman" w:cs="Times New Roman"/>
          <w:sz w:val="24"/>
          <w:szCs w:val="24"/>
        </w:rPr>
        <w:t>specially ordered or commissioned</w:t>
      </w:r>
      <w:r w:rsidR="00C13B38" w:rsidRPr="002A5E27">
        <w:rPr>
          <w:rFonts w:ascii="Times New Roman" w:hAnsi="Times New Roman" w:cs="Times New Roman"/>
          <w:sz w:val="24"/>
          <w:szCs w:val="24"/>
        </w:rPr>
        <w:t>”</w:t>
      </w:r>
      <w:r w:rsidRPr="002A5E27">
        <w:rPr>
          <w:rFonts w:ascii="Times New Roman" w:hAnsi="Times New Roman" w:cs="Times New Roman"/>
          <w:sz w:val="24"/>
          <w:szCs w:val="24"/>
        </w:rPr>
        <w:t xml:space="preserve"> and that the parties </w:t>
      </w:r>
      <w:r w:rsidR="00C13B38" w:rsidRPr="002A5E27">
        <w:rPr>
          <w:rFonts w:ascii="Times New Roman" w:hAnsi="Times New Roman" w:cs="Times New Roman"/>
          <w:sz w:val="24"/>
          <w:szCs w:val="24"/>
        </w:rPr>
        <w:t xml:space="preserve">expressly agree </w:t>
      </w:r>
      <w:r w:rsidR="00602D76" w:rsidRPr="002A5E27">
        <w:rPr>
          <w:rFonts w:ascii="Times New Roman" w:hAnsi="Times New Roman" w:cs="Times New Roman"/>
          <w:sz w:val="24"/>
          <w:szCs w:val="24"/>
        </w:rPr>
        <w:t xml:space="preserve">in </w:t>
      </w:r>
      <w:proofErr w:type="gramStart"/>
      <w:r w:rsidR="00602D76" w:rsidRPr="002A5E27">
        <w:rPr>
          <w:rFonts w:ascii="Times New Roman" w:hAnsi="Times New Roman" w:cs="Times New Roman"/>
          <w:sz w:val="24"/>
          <w:szCs w:val="24"/>
        </w:rPr>
        <w:t>a writing</w:t>
      </w:r>
      <w:proofErr w:type="gramEnd"/>
      <w:r w:rsidR="00602D76" w:rsidRPr="002A5E27">
        <w:rPr>
          <w:rFonts w:ascii="Times New Roman" w:hAnsi="Times New Roman" w:cs="Times New Roman"/>
          <w:sz w:val="24"/>
          <w:szCs w:val="24"/>
        </w:rPr>
        <w:t xml:space="preserve"> </w:t>
      </w:r>
      <w:r w:rsidR="00C13B38" w:rsidRPr="002A5E27">
        <w:rPr>
          <w:rFonts w:ascii="Times New Roman" w:hAnsi="Times New Roman" w:cs="Times New Roman"/>
          <w:sz w:val="24"/>
          <w:szCs w:val="24"/>
        </w:rPr>
        <w:t>that the work is for hire</w:t>
      </w:r>
      <w:r w:rsidR="00602D76" w:rsidRPr="002A5E27">
        <w:rPr>
          <w:rFonts w:ascii="Times New Roman" w:hAnsi="Times New Roman" w:cs="Times New Roman"/>
          <w:sz w:val="24"/>
          <w:szCs w:val="24"/>
        </w:rPr>
        <w:t xml:space="preserve">. </w:t>
      </w:r>
      <w:r w:rsidRPr="002A5E27">
        <w:rPr>
          <w:rFonts w:ascii="Times New Roman" w:hAnsi="Times New Roman" w:cs="Times New Roman"/>
          <w:sz w:val="24"/>
          <w:szCs w:val="24"/>
        </w:rPr>
        <w:t xml:space="preserve">Provided that the work is specially ordered or commissioned and that the parties </w:t>
      </w:r>
      <w:r w:rsidRPr="002A5E27">
        <w:rPr>
          <w:rFonts w:ascii="Times New Roman" w:hAnsi="Times New Roman" w:cs="Times New Roman"/>
          <w:sz w:val="24"/>
          <w:szCs w:val="24"/>
        </w:rPr>
        <w:lastRenderedPageBreak/>
        <w:t>have agreed that the work is to be a work for hire, the</w:t>
      </w:r>
      <w:r w:rsidR="00D96361">
        <w:rPr>
          <w:rFonts w:ascii="Times New Roman" w:hAnsi="Times New Roman" w:cs="Times New Roman"/>
          <w:sz w:val="24"/>
          <w:szCs w:val="24"/>
        </w:rPr>
        <w:t xml:space="preserve"> only requirement is that the agreement is recorded in </w:t>
      </w:r>
      <w:r w:rsidRPr="002A5E27">
        <w:rPr>
          <w:rFonts w:ascii="Times New Roman" w:hAnsi="Times New Roman" w:cs="Times New Roman"/>
          <w:sz w:val="24"/>
          <w:szCs w:val="24"/>
        </w:rPr>
        <w:t>writing signed by both parties.</w:t>
      </w:r>
      <w:r w:rsidR="001267F4" w:rsidRPr="002A5E27">
        <w:rPr>
          <w:rFonts w:ascii="Times New Roman" w:hAnsi="Times New Roman" w:cs="Times New Roman"/>
          <w:sz w:val="24"/>
          <w:szCs w:val="24"/>
        </w:rPr>
        <w:t xml:space="preserve"> </w:t>
      </w:r>
    </w:p>
    <w:p w14:paraId="149D3C24" w14:textId="77777777" w:rsidR="00EA2DB3" w:rsidRPr="00B9395A" w:rsidRDefault="00D96361" w:rsidP="00721C1C">
      <w:pPr>
        <w:autoSpaceDE w:val="0"/>
        <w:autoSpaceDN w:val="0"/>
        <w:adjustRightInd w:val="0"/>
        <w:spacing w:after="0" w:line="480" w:lineRule="auto"/>
        <w:ind w:firstLine="720"/>
        <w:contextualSpacing/>
        <w:rPr>
          <w:rFonts w:ascii="Times New Roman" w:hAnsi="Times New Roman" w:cs="Times New Roman"/>
          <w:sz w:val="24"/>
          <w:szCs w:val="24"/>
        </w:rPr>
      </w:pPr>
      <w:proofErr w:type="gramStart"/>
      <w:r>
        <w:rPr>
          <w:rFonts w:ascii="Times New Roman" w:hAnsi="Times New Roman" w:cs="Times New Roman"/>
          <w:sz w:val="24"/>
          <w:szCs w:val="24"/>
        </w:rPr>
        <w:t xml:space="preserve">As applied to this </w:t>
      </w:r>
      <w:r w:rsidR="00EA2DB3">
        <w:rPr>
          <w:rFonts w:ascii="Times New Roman" w:hAnsi="Times New Roman" w:cs="Times New Roman"/>
          <w:sz w:val="24"/>
          <w:szCs w:val="24"/>
        </w:rPr>
        <w:t>case, OGS</w:t>
      </w:r>
      <w:r>
        <w:rPr>
          <w:rFonts w:ascii="Times New Roman" w:hAnsi="Times New Roman" w:cs="Times New Roman"/>
          <w:sz w:val="24"/>
          <w:szCs w:val="24"/>
        </w:rPr>
        <w:t>.</w:t>
      </w:r>
      <w:proofErr w:type="gramEnd"/>
      <w:r w:rsidR="00EA2DB3">
        <w:rPr>
          <w:rFonts w:ascii="Times New Roman" w:hAnsi="Times New Roman" w:cs="Times New Roman"/>
          <w:sz w:val="24"/>
          <w:szCs w:val="24"/>
        </w:rPr>
        <w:t xml:space="preserve"> </w:t>
      </w:r>
      <w:proofErr w:type="gramStart"/>
      <w:r w:rsidR="00EA2DB3">
        <w:rPr>
          <w:rFonts w:ascii="Times New Roman" w:hAnsi="Times New Roman" w:cs="Times New Roman"/>
          <w:sz w:val="24"/>
          <w:szCs w:val="24"/>
        </w:rPr>
        <w:t>contends</w:t>
      </w:r>
      <w:proofErr w:type="gramEnd"/>
      <w:r w:rsidR="00EA2DB3">
        <w:rPr>
          <w:rFonts w:ascii="Times New Roman" w:hAnsi="Times New Roman" w:cs="Times New Roman"/>
          <w:sz w:val="24"/>
          <w:szCs w:val="24"/>
        </w:rPr>
        <w:t xml:space="preserve"> that there was writing signed by both parties that is adequate to show that OGS owns</w:t>
      </w:r>
      <w:r>
        <w:rPr>
          <w:rFonts w:ascii="Times New Roman" w:hAnsi="Times New Roman" w:cs="Times New Roman"/>
          <w:sz w:val="24"/>
          <w:szCs w:val="24"/>
        </w:rPr>
        <w:t xml:space="preserve"> the copyright</w:t>
      </w:r>
      <w:r w:rsidR="00EA2DB3">
        <w:rPr>
          <w:rFonts w:ascii="Times New Roman" w:hAnsi="Times New Roman" w:cs="Times New Roman"/>
          <w:sz w:val="24"/>
          <w:szCs w:val="24"/>
        </w:rPr>
        <w:t xml:space="preserve">. As the facts show, </w:t>
      </w:r>
      <w:r w:rsidR="009C375C">
        <w:rPr>
          <w:rFonts w:ascii="Times New Roman" w:hAnsi="Times New Roman" w:cs="Times New Roman"/>
          <w:sz w:val="24"/>
          <w:szCs w:val="24"/>
        </w:rPr>
        <w:t>the documents signed by the Defendant met the requirements for a work made for hire as stipulated in the statute. The</w:t>
      </w:r>
      <w:r w:rsidR="00EA2DB3">
        <w:rPr>
          <w:rFonts w:ascii="Times New Roman" w:hAnsi="Times New Roman" w:cs="Times New Roman"/>
          <w:sz w:val="24"/>
          <w:szCs w:val="24"/>
        </w:rPr>
        <w:t xml:space="preserve"> writings were express indicators that the screenplay was a commissioned work made for hire under the scope of the federal Copyright Act of 1976. Given that there is no prior-to-creation writing requirement in the text of the statute and that Congress refused on many occasions to add that requirement to the statute, this writing signed by OGS and </w:t>
      </w:r>
      <w:r w:rsidR="00CA34F8">
        <w:rPr>
          <w:rFonts w:ascii="Times New Roman" w:hAnsi="Times New Roman" w:cs="Times New Roman"/>
          <w:sz w:val="24"/>
          <w:szCs w:val="24"/>
        </w:rPr>
        <w:t xml:space="preserve">Defendant </w:t>
      </w:r>
      <w:r w:rsidR="00EA2DB3">
        <w:rPr>
          <w:rFonts w:ascii="Times New Roman" w:hAnsi="Times New Roman" w:cs="Times New Roman"/>
          <w:sz w:val="24"/>
          <w:szCs w:val="24"/>
        </w:rPr>
        <w:t xml:space="preserve">Lime satisfies </w:t>
      </w:r>
      <w:r w:rsidR="00CA34F8">
        <w:rPr>
          <w:rFonts w:ascii="Times New Roman" w:hAnsi="Times New Roman" w:cs="Times New Roman"/>
          <w:sz w:val="24"/>
          <w:szCs w:val="24"/>
        </w:rPr>
        <w:t>copyright law and pro</w:t>
      </w:r>
      <w:r w:rsidR="007152F7">
        <w:rPr>
          <w:rFonts w:ascii="Times New Roman" w:hAnsi="Times New Roman" w:cs="Times New Roman"/>
          <w:sz w:val="24"/>
          <w:szCs w:val="24"/>
        </w:rPr>
        <w:t xml:space="preserve">ves </w:t>
      </w:r>
      <w:r w:rsidR="00CA34F8">
        <w:rPr>
          <w:rFonts w:ascii="Times New Roman" w:hAnsi="Times New Roman" w:cs="Times New Roman"/>
          <w:sz w:val="24"/>
          <w:szCs w:val="24"/>
        </w:rPr>
        <w:t>OGS’s ownership in the screenplay.</w:t>
      </w:r>
    </w:p>
    <w:p w14:paraId="6F18E227" w14:textId="77777777" w:rsidR="001267F4" w:rsidRPr="001267F4" w:rsidRDefault="001267F4" w:rsidP="001267F4"/>
    <w:p w14:paraId="28A8F166" w14:textId="77777777" w:rsidR="004D29D6" w:rsidRPr="007F73AE" w:rsidRDefault="00914650" w:rsidP="004D29D6">
      <w:pPr>
        <w:spacing w:line="480" w:lineRule="auto"/>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B</w:t>
      </w:r>
      <w:r w:rsidR="004D29D6">
        <w:rPr>
          <w:rFonts w:ascii="Times New Roman" w:eastAsia="Times New Roman" w:hAnsi="Times New Roman" w:cs="Times New Roman"/>
          <w:b/>
          <w:sz w:val="24"/>
          <w:szCs w:val="24"/>
        </w:rPr>
        <w:t xml:space="preserve">. </w:t>
      </w:r>
      <w:r w:rsidR="004D29D6" w:rsidRPr="007F73AE">
        <w:rPr>
          <w:rFonts w:ascii="Times New Roman" w:eastAsia="Times New Roman" w:hAnsi="Times New Roman" w:cs="Times New Roman"/>
          <w:b/>
          <w:sz w:val="24"/>
          <w:szCs w:val="24"/>
        </w:rPr>
        <w:t xml:space="preserve">It </w:t>
      </w:r>
      <w:r w:rsidR="002A1726">
        <w:rPr>
          <w:rFonts w:ascii="Times New Roman" w:eastAsia="Times New Roman" w:hAnsi="Times New Roman" w:cs="Times New Roman"/>
          <w:b/>
          <w:sz w:val="24"/>
          <w:szCs w:val="24"/>
        </w:rPr>
        <w:t xml:space="preserve">would </w:t>
      </w:r>
      <w:r w:rsidR="004D29D6" w:rsidRPr="007F73AE">
        <w:rPr>
          <w:rFonts w:ascii="Times New Roman" w:eastAsia="Times New Roman" w:hAnsi="Times New Roman" w:cs="Times New Roman"/>
          <w:b/>
          <w:sz w:val="24"/>
          <w:szCs w:val="24"/>
        </w:rPr>
        <w:t xml:space="preserve">obstruct congressional intent to hold that the written agreement </w:t>
      </w:r>
      <w:r w:rsidR="002A1726">
        <w:rPr>
          <w:rFonts w:ascii="Times New Roman" w:eastAsia="Times New Roman" w:hAnsi="Times New Roman" w:cs="Times New Roman"/>
          <w:b/>
          <w:sz w:val="24"/>
          <w:szCs w:val="24"/>
        </w:rPr>
        <w:t xml:space="preserve">has </w:t>
      </w:r>
      <w:r w:rsidR="004D29D6" w:rsidRPr="007F73AE">
        <w:rPr>
          <w:rFonts w:ascii="Times New Roman" w:eastAsia="Times New Roman" w:hAnsi="Times New Roman" w:cs="Times New Roman"/>
          <w:b/>
          <w:sz w:val="24"/>
          <w:szCs w:val="24"/>
        </w:rPr>
        <w:t xml:space="preserve">to take place prior to the creation of the work.  </w:t>
      </w:r>
    </w:p>
    <w:p w14:paraId="74419A03" w14:textId="77777777" w:rsidR="00304A3B" w:rsidRPr="002C57F2" w:rsidRDefault="00304A3B" w:rsidP="00304A3B">
      <w:pPr>
        <w:autoSpaceDE w:val="0"/>
        <w:autoSpaceDN w:val="0"/>
        <w:adjustRightInd w:val="0"/>
        <w:spacing w:after="0" w:line="480" w:lineRule="auto"/>
        <w:ind w:firstLine="720"/>
        <w:contextualSpacing/>
        <w:rPr>
          <w:rFonts w:ascii="Times New Roman" w:hAnsi="Times New Roman" w:cs="Times New Roman"/>
          <w:sz w:val="24"/>
          <w:szCs w:val="24"/>
        </w:rPr>
      </w:pPr>
      <w:r w:rsidRPr="002C57F2">
        <w:rPr>
          <w:rFonts w:ascii="Times New Roman" w:hAnsi="Times New Roman" w:cs="Times New Roman"/>
          <w:sz w:val="24"/>
          <w:szCs w:val="24"/>
        </w:rPr>
        <w:t>Where a statute is ambiguous, the Court should look to the overall “structure</w:t>
      </w:r>
    </w:p>
    <w:p w14:paraId="13BE5BA1" w14:textId="77777777" w:rsidR="00CD4C5E" w:rsidRDefault="00304A3B" w:rsidP="00304A3B">
      <w:pPr>
        <w:autoSpaceDE w:val="0"/>
        <w:autoSpaceDN w:val="0"/>
        <w:adjustRightInd w:val="0"/>
        <w:spacing w:after="0" w:line="480" w:lineRule="auto"/>
        <w:contextualSpacing/>
        <w:rPr>
          <w:rFonts w:ascii="Times New Roman" w:hAnsi="Times New Roman" w:cs="Times New Roman"/>
          <w:sz w:val="24"/>
          <w:szCs w:val="24"/>
        </w:rPr>
      </w:pPr>
      <w:proofErr w:type="gramStart"/>
      <w:r w:rsidRPr="002C57F2">
        <w:rPr>
          <w:rFonts w:ascii="Times New Roman" w:hAnsi="Times New Roman" w:cs="Times New Roman"/>
          <w:sz w:val="24"/>
          <w:szCs w:val="24"/>
        </w:rPr>
        <w:t>and</w:t>
      </w:r>
      <w:proofErr w:type="gramEnd"/>
      <w:r w:rsidRPr="002C57F2">
        <w:rPr>
          <w:rFonts w:ascii="Times New Roman" w:hAnsi="Times New Roman" w:cs="Times New Roman"/>
          <w:sz w:val="24"/>
          <w:szCs w:val="24"/>
        </w:rPr>
        <w:t xml:space="preserve"> purpose of the statute” to discern Congress’s intent. </w:t>
      </w:r>
      <w:bookmarkStart w:id="33" w:name="CITRUS_BOOKMARK46"/>
      <w:proofErr w:type="gramStart"/>
      <w:r w:rsidR="001B558C" w:rsidRPr="00551F7A">
        <w:rPr>
          <w:rFonts w:ascii="Times New Roman" w:hAnsi="Times New Roman" w:cs="Times New Roman"/>
          <w:i/>
          <w:sz w:val="24"/>
          <w:szCs w:val="24"/>
        </w:rPr>
        <w:t xml:space="preserve">Wilderness </w:t>
      </w:r>
      <w:proofErr w:type="spellStart"/>
      <w:r w:rsidR="001B558C" w:rsidRPr="00551F7A">
        <w:rPr>
          <w:rFonts w:ascii="Times New Roman" w:hAnsi="Times New Roman" w:cs="Times New Roman"/>
          <w:i/>
          <w:sz w:val="24"/>
          <w:szCs w:val="24"/>
        </w:rPr>
        <w:t>Soc'y</w:t>
      </w:r>
      <w:proofErr w:type="spellEnd"/>
      <w:r w:rsidR="001B558C" w:rsidRPr="00551F7A">
        <w:rPr>
          <w:rFonts w:ascii="Times New Roman" w:hAnsi="Times New Roman" w:cs="Times New Roman"/>
          <w:i/>
          <w:sz w:val="24"/>
          <w:szCs w:val="24"/>
        </w:rPr>
        <w:t xml:space="preserve"> v. U.S. FWS</w:t>
      </w:r>
      <w:r w:rsidR="001B558C" w:rsidRPr="00551F7A">
        <w:rPr>
          <w:rFonts w:ascii="Times New Roman" w:hAnsi="Times New Roman" w:cs="Times New Roman"/>
          <w:sz w:val="24"/>
          <w:szCs w:val="24"/>
        </w:rPr>
        <w:t>, 353 F.3d 1051, 1060 (9th Cir. 2003)</w:t>
      </w:r>
      <w:bookmarkEnd w:id="33"/>
      <w:r w:rsidR="00C0791E">
        <w:rPr>
          <w:rFonts w:ascii="Times New Roman" w:hAnsi="Times New Roman" w:cs="Times New Roman"/>
          <w:sz w:val="24"/>
          <w:szCs w:val="24"/>
        </w:rPr>
        <w:t>.</w:t>
      </w:r>
      <w:proofErr w:type="gramEnd"/>
      <w:r w:rsidRPr="002C57F2">
        <w:rPr>
          <w:rFonts w:ascii="Times New Roman" w:hAnsi="Times New Roman" w:cs="Times New Roman"/>
          <w:sz w:val="24"/>
          <w:szCs w:val="24"/>
        </w:rPr>
        <w:t xml:space="preserve"> </w:t>
      </w:r>
      <w:r w:rsidR="002C57F2" w:rsidRPr="002C57F2">
        <w:rPr>
          <w:rFonts w:ascii="Times New Roman" w:hAnsi="Times New Roman" w:cs="Times New Roman"/>
          <w:sz w:val="24"/>
          <w:szCs w:val="24"/>
        </w:rPr>
        <w:t xml:space="preserve">The Supreme Court of New Mexico held that when statutory language is unclear, it is “the high duty and responsibility of the judicial branch of government to facilitate and promote the legislature’s accomplishment of its purpose.” </w:t>
      </w:r>
      <w:bookmarkStart w:id="34" w:name="CITRUS_BOOKMARK47"/>
      <w:r w:rsidR="002C57F2" w:rsidRPr="00551F7A">
        <w:rPr>
          <w:rFonts w:ascii="Times New Roman" w:hAnsi="Times New Roman" w:cs="Times New Roman"/>
          <w:i/>
          <w:iCs/>
          <w:sz w:val="24"/>
          <w:szCs w:val="24"/>
        </w:rPr>
        <w:t xml:space="preserve">State ex rel. </w:t>
      </w:r>
      <w:proofErr w:type="spellStart"/>
      <w:r w:rsidR="002C57F2" w:rsidRPr="00551F7A">
        <w:rPr>
          <w:rFonts w:ascii="Times New Roman" w:hAnsi="Times New Roman" w:cs="Times New Roman"/>
          <w:i/>
          <w:iCs/>
          <w:sz w:val="24"/>
          <w:szCs w:val="24"/>
        </w:rPr>
        <w:t>Helman</w:t>
      </w:r>
      <w:proofErr w:type="spellEnd"/>
      <w:r w:rsidR="002C57F2" w:rsidRPr="00551F7A">
        <w:rPr>
          <w:rFonts w:ascii="Times New Roman" w:hAnsi="Times New Roman" w:cs="Times New Roman"/>
          <w:i/>
          <w:iCs/>
          <w:sz w:val="24"/>
          <w:szCs w:val="24"/>
        </w:rPr>
        <w:t xml:space="preserve"> v. Gallegos</w:t>
      </w:r>
      <w:r w:rsidR="002C57F2" w:rsidRPr="00551F7A">
        <w:rPr>
          <w:rFonts w:ascii="Times New Roman" w:hAnsi="Times New Roman" w:cs="Times New Roman"/>
          <w:sz w:val="24"/>
          <w:szCs w:val="24"/>
        </w:rPr>
        <w:t>, 117 N.M. 346, 353, 871 P.2d 1352, 1359 (1994)</w:t>
      </w:r>
      <w:bookmarkEnd w:id="34"/>
      <w:r w:rsidR="001A0413">
        <w:rPr>
          <w:rFonts w:ascii="Times New Roman" w:hAnsi="Times New Roman" w:cs="Times New Roman"/>
          <w:sz w:val="24"/>
          <w:szCs w:val="24"/>
        </w:rPr>
        <w:t xml:space="preserve">. </w:t>
      </w:r>
      <w:r w:rsidR="004C1C9A" w:rsidRPr="002C57F2">
        <w:rPr>
          <w:rFonts w:ascii="Times New Roman" w:hAnsi="Times New Roman" w:cs="Times New Roman"/>
          <w:sz w:val="24"/>
          <w:szCs w:val="24"/>
        </w:rPr>
        <w:t>Legislative history shows that congressional intent behind the writing requirement was to promote</w:t>
      </w:r>
      <w:r w:rsidR="004C1C9A" w:rsidRPr="00304A3B">
        <w:rPr>
          <w:rFonts w:ascii="Times New Roman" w:hAnsi="Times New Roman" w:cs="Times New Roman"/>
          <w:sz w:val="24"/>
          <w:szCs w:val="24"/>
        </w:rPr>
        <w:t xml:space="preserve"> certain values. These values included reduction of fraudulent work-for-hire contracts, clarity in regards to copyright ownership rights, and to increase </w:t>
      </w:r>
      <w:r w:rsidR="00CD4C5E">
        <w:rPr>
          <w:rFonts w:ascii="Times New Roman" w:hAnsi="Times New Roman" w:cs="Times New Roman"/>
          <w:sz w:val="24"/>
          <w:szCs w:val="24"/>
        </w:rPr>
        <w:t>predictability for all parties.</w:t>
      </w:r>
    </w:p>
    <w:p w14:paraId="08CDF0C1" w14:textId="77777777" w:rsidR="00EA1540" w:rsidRPr="00304A3B" w:rsidRDefault="002A1726" w:rsidP="00CD4C5E">
      <w:pPr>
        <w:autoSpaceDE w:val="0"/>
        <w:autoSpaceDN w:val="0"/>
        <w:adjustRightInd w:val="0"/>
        <w:spacing w:after="0" w:line="480" w:lineRule="auto"/>
        <w:ind w:firstLine="720"/>
        <w:contextualSpacing/>
        <w:rPr>
          <w:rFonts w:ascii="Times New Roman" w:hAnsi="Times New Roman" w:cs="Times New Roman"/>
          <w:sz w:val="24"/>
          <w:szCs w:val="24"/>
        </w:rPr>
      </w:pPr>
      <w:r w:rsidRPr="00304A3B">
        <w:rPr>
          <w:rFonts w:ascii="Times New Roman" w:hAnsi="Times New Roman" w:cs="Times New Roman"/>
          <w:sz w:val="24"/>
          <w:szCs w:val="24"/>
        </w:rPr>
        <w:t xml:space="preserve">Furthermore, </w:t>
      </w:r>
      <w:r w:rsidRPr="00304A3B">
        <w:rPr>
          <w:rFonts w:ascii="Times New Roman" w:eastAsia="Times New Roman" w:hAnsi="Times New Roman" w:cs="Times New Roman"/>
          <w:sz w:val="24"/>
          <w:szCs w:val="24"/>
        </w:rPr>
        <w:t>t</w:t>
      </w:r>
      <w:r w:rsidR="00EA1540" w:rsidRPr="00304A3B">
        <w:rPr>
          <w:rFonts w:ascii="Times New Roman" w:eastAsia="Times New Roman" w:hAnsi="Times New Roman" w:cs="Times New Roman"/>
          <w:sz w:val="24"/>
          <w:szCs w:val="24"/>
        </w:rPr>
        <w:t xml:space="preserve">he legislative history of the development of the work made for hire provisions states, in relation to the topic of screenwriters, </w:t>
      </w:r>
    </w:p>
    <w:p w14:paraId="5F99D79B" w14:textId="77777777" w:rsidR="002A1726" w:rsidRPr="00FA1F37" w:rsidRDefault="00EA1540" w:rsidP="00D52FBC">
      <w:pPr>
        <w:spacing w:line="240" w:lineRule="auto"/>
        <w:ind w:left="720" w:right="720"/>
        <w:contextualSpacing/>
        <w:jc w:val="both"/>
        <w:rPr>
          <w:rFonts w:ascii="Times New Roman" w:eastAsia="Times New Roman" w:hAnsi="Times New Roman" w:cs="Times New Roman"/>
          <w:sz w:val="24"/>
          <w:szCs w:val="24"/>
        </w:rPr>
      </w:pPr>
      <w:r w:rsidRPr="00FA1F37">
        <w:rPr>
          <w:rFonts w:ascii="Times New Roman" w:eastAsia="Times New Roman" w:hAnsi="Times New Roman" w:cs="Times New Roman"/>
          <w:sz w:val="24"/>
          <w:szCs w:val="24"/>
        </w:rPr>
        <w:lastRenderedPageBreak/>
        <w:t xml:space="preserve">“The work-made-for-hire provisions of this bill represent a carefully balanced compromise, and as such they do not incorporate </w:t>
      </w:r>
      <w:proofErr w:type="gramStart"/>
      <w:r w:rsidRPr="00FA1F37">
        <w:rPr>
          <w:rFonts w:ascii="Times New Roman" w:eastAsia="Times New Roman" w:hAnsi="Times New Roman" w:cs="Times New Roman"/>
          <w:sz w:val="24"/>
          <w:szCs w:val="24"/>
        </w:rPr>
        <w:t>the  amendments</w:t>
      </w:r>
      <w:proofErr w:type="gramEnd"/>
      <w:r w:rsidRPr="00FA1F37">
        <w:rPr>
          <w:rFonts w:ascii="Times New Roman" w:eastAsia="Times New Roman" w:hAnsi="Times New Roman" w:cs="Times New Roman"/>
          <w:sz w:val="24"/>
          <w:szCs w:val="24"/>
        </w:rPr>
        <w:t xml:space="preserve"> proposed by screenwriters and</w:t>
      </w:r>
      <w:r w:rsidR="00B860C2" w:rsidRPr="00FA1F37">
        <w:rPr>
          <w:rFonts w:ascii="Times New Roman" w:eastAsia="Times New Roman" w:hAnsi="Times New Roman" w:cs="Times New Roman"/>
          <w:sz w:val="24"/>
          <w:szCs w:val="24"/>
        </w:rPr>
        <w:t xml:space="preserve"> composers for motion pictures…W</w:t>
      </w:r>
      <w:r w:rsidRPr="00FA1F37">
        <w:rPr>
          <w:rFonts w:ascii="Times New Roman" w:eastAsia="Times New Roman" w:hAnsi="Times New Roman" w:cs="Times New Roman"/>
          <w:sz w:val="24"/>
          <w:szCs w:val="24"/>
        </w:rPr>
        <w:t>ith some exceptions, the employer would acquire the right to use the employee's work to the extent needed for purposes of his regular business, but the employee would retain all other rights as long as he or she refrained from the</w:t>
      </w:r>
      <w:r w:rsidR="00B860C2" w:rsidRPr="00FA1F37">
        <w:rPr>
          <w:rFonts w:ascii="Times New Roman" w:eastAsia="Times New Roman" w:hAnsi="Times New Roman" w:cs="Times New Roman"/>
          <w:sz w:val="24"/>
          <w:szCs w:val="24"/>
        </w:rPr>
        <w:t xml:space="preserve"> authorizing of competing uses…</w:t>
      </w:r>
      <w:r w:rsidRPr="00FA1F37">
        <w:rPr>
          <w:rFonts w:ascii="Times New Roman" w:eastAsia="Times New Roman" w:hAnsi="Times New Roman" w:cs="Times New Roman"/>
          <w:sz w:val="24"/>
          <w:szCs w:val="24"/>
        </w:rPr>
        <w:t>The presumption that initial ownership rights vest in the employer for hire is well established in American copyright law, and to exchange that for the uncertainties of the shop right doctrine would not only be of dubious value to employers and employees alike, but might also reopen a number of other issues.”</w:t>
      </w:r>
    </w:p>
    <w:p w14:paraId="2BF137B1" w14:textId="77777777" w:rsidR="002A1726" w:rsidRPr="00F4182E" w:rsidRDefault="002A1726" w:rsidP="00F4182E">
      <w:pPr>
        <w:spacing w:line="480" w:lineRule="auto"/>
        <w:ind w:left="720"/>
        <w:contextualSpacing/>
        <w:rPr>
          <w:rFonts w:ascii="Times New Roman" w:eastAsia="Times New Roman" w:hAnsi="Times New Roman" w:cs="Times New Roman"/>
          <w:i/>
          <w:sz w:val="24"/>
          <w:szCs w:val="24"/>
        </w:rPr>
      </w:pPr>
    </w:p>
    <w:p w14:paraId="5FF247BB" w14:textId="77777777" w:rsidR="00F4182E" w:rsidRDefault="002A1726" w:rsidP="00F4182E">
      <w:pPr>
        <w:spacing w:after="240" w:line="480" w:lineRule="auto"/>
        <w:contextualSpacing/>
      </w:pPr>
      <w:r w:rsidRPr="00F4182E">
        <w:rPr>
          <w:rFonts w:ascii="Times New Roman" w:eastAsia="Times New Roman" w:hAnsi="Times New Roman" w:cs="Times New Roman"/>
          <w:sz w:val="24"/>
          <w:szCs w:val="24"/>
        </w:rPr>
        <w:t xml:space="preserve">The legislature specifically prohibited including language in the statute proposed by screenwriters that would give the individual authors the ability to retain any rights in the works created. The intent of the legislature, as shown in the passage above, was to promote clarity and to adhere to traditional understanding of works for hire that stipulate that “initial ownership rights vest in the employer for hire”. </w:t>
      </w:r>
      <w:r w:rsidR="00F4182E" w:rsidRPr="00F4182E">
        <w:rPr>
          <w:rFonts w:ascii="Times New Roman" w:hAnsi="Times New Roman" w:cs="Times New Roman"/>
          <w:sz w:val="24"/>
          <w:szCs w:val="24"/>
        </w:rPr>
        <w:t xml:space="preserve">H.R. Rep. No. </w:t>
      </w:r>
      <w:r w:rsidR="00F4182E" w:rsidRPr="00F4182E">
        <w:rPr>
          <w:rStyle w:val="cosearchterm"/>
          <w:rFonts w:ascii="Times New Roman" w:hAnsi="Times New Roman" w:cs="Times New Roman"/>
          <w:sz w:val="24"/>
          <w:szCs w:val="24"/>
        </w:rPr>
        <w:t>94</w:t>
      </w:r>
      <w:r w:rsidR="00F4182E" w:rsidRPr="00F4182E">
        <w:rPr>
          <w:rFonts w:ascii="Times New Roman" w:hAnsi="Times New Roman" w:cs="Times New Roman"/>
          <w:sz w:val="24"/>
          <w:szCs w:val="24"/>
        </w:rPr>
        <w:t>-</w:t>
      </w:r>
      <w:r w:rsidR="00F4182E" w:rsidRPr="00F4182E">
        <w:rPr>
          <w:rStyle w:val="cosearchterm"/>
          <w:rFonts w:ascii="Times New Roman" w:hAnsi="Times New Roman" w:cs="Times New Roman"/>
          <w:sz w:val="24"/>
          <w:szCs w:val="24"/>
        </w:rPr>
        <w:t>1476</w:t>
      </w:r>
      <w:r w:rsidR="00F4182E" w:rsidRPr="00F4182E">
        <w:rPr>
          <w:rFonts w:ascii="Times New Roman" w:hAnsi="Times New Roman" w:cs="Times New Roman"/>
          <w:sz w:val="24"/>
          <w:szCs w:val="24"/>
        </w:rPr>
        <w:t>, 94th Cong., 2d Sess. 62 (1976</w:t>
      </w:r>
      <w:r w:rsidR="00F4182E" w:rsidRPr="00F4182E">
        <w:rPr>
          <w:rFonts w:ascii="Tahoma" w:hAnsi="Tahoma" w:cs="Tahoma"/>
        </w:rPr>
        <w:t>)</w:t>
      </w:r>
    </w:p>
    <w:p w14:paraId="6CB6C73E" w14:textId="77777777" w:rsidR="002A1726" w:rsidRDefault="002A1726" w:rsidP="00F4182E">
      <w:pPr>
        <w:spacing w:line="48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It would subvert the legislature’s efforts and be contrary to congressional intent for the court to expand upon the statute by creating </w:t>
      </w:r>
      <w:r w:rsidR="00F04C74">
        <w:rPr>
          <w:rFonts w:ascii="Times New Roman" w:eastAsia="Times New Roman" w:hAnsi="Times New Roman" w:cs="Times New Roman"/>
          <w:sz w:val="24"/>
          <w:szCs w:val="24"/>
        </w:rPr>
        <w:t>a</w:t>
      </w:r>
      <w:r>
        <w:rPr>
          <w:rFonts w:ascii="Times New Roman" w:eastAsia="Times New Roman" w:hAnsi="Times New Roman" w:cs="Times New Roman"/>
          <w:sz w:val="24"/>
          <w:szCs w:val="24"/>
        </w:rPr>
        <w:t>dditional requirement</w:t>
      </w:r>
      <w:r w:rsidR="00F04C74">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for the written agreement. </w:t>
      </w:r>
    </w:p>
    <w:p w14:paraId="3B068E75" w14:textId="77777777" w:rsidR="009C375C" w:rsidRDefault="009C375C" w:rsidP="009C375C">
      <w:pPr>
        <w:spacing w:line="480" w:lineRule="auto"/>
        <w:ind w:firstLine="720"/>
        <w:contextualSpacing/>
        <w:rPr>
          <w:rFonts w:ascii="Times New Roman" w:hAnsi="Times New Roman" w:cs="Times New Roman"/>
          <w:sz w:val="24"/>
          <w:szCs w:val="24"/>
        </w:rPr>
      </w:pPr>
      <w:r w:rsidRPr="002A5E27">
        <w:rPr>
          <w:rFonts w:ascii="Times New Roman" w:hAnsi="Times New Roman" w:cs="Times New Roman"/>
          <w:sz w:val="24"/>
          <w:szCs w:val="24"/>
        </w:rPr>
        <w:t>A</w:t>
      </w:r>
      <w:r>
        <w:rPr>
          <w:rFonts w:ascii="Times New Roman" w:hAnsi="Times New Roman" w:cs="Times New Roman"/>
          <w:sz w:val="24"/>
          <w:szCs w:val="24"/>
        </w:rPr>
        <w:t xml:space="preserve"> strict </w:t>
      </w:r>
      <w:r w:rsidRPr="002A5E27">
        <w:rPr>
          <w:rFonts w:ascii="Times New Roman" w:hAnsi="Times New Roman" w:cs="Times New Roman"/>
          <w:sz w:val="24"/>
          <w:szCs w:val="24"/>
        </w:rPr>
        <w:t xml:space="preserve">textual interpretation of the statute is </w:t>
      </w:r>
      <w:r>
        <w:rPr>
          <w:rFonts w:ascii="Times New Roman" w:hAnsi="Times New Roman" w:cs="Times New Roman"/>
          <w:sz w:val="24"/>
          <w:szCs w:val="24"/>
        </w:rPr>
        <w:t xml:space="preserve">also appropriate </w:t>
      </w:r>
      <w:r w:rsidRPr="002A5E27">
        <w:rPr>
          <w:rFonts w:ascii="Times New Roman" w:hAnsi="Times New Roman" w:cs="Times New Roman"/>
          <w:sz w:val="24"/>
          <w:szCs w:val="24"/>
        </w:rPr>
        <w:t xml:space="preserve">given that there have been many attempts to alter </w:t>
      </w:r>
      <w:bookmarkStart w:id="35" w:name="CITRUS_BOOKMARK1000000041"/>
      <w:r w:rsidRPr="00551F7A">
        <w:rPr>
          <w:rFonts w:ascii="Times New Roman" w:hAnsi="Times New Roman" w:cs="Times New Roman"/>
          <w:bCs/>
          <w:sz w:val="24"/>
          <w:szCs w:val="24"/>
        </w:rPr>
        <w:t>17 U.S.C. §101(2)</w:t>
      </w:r>
      <w:bookmarkEnd w:id="35"/>
      <w:r w:rsidRPr="002A5E27">
        <w:rPr>
          <w:rFonts w:ascii="Times New Roman" w:hAnsi="Times New Roman" w:cs="Times New Roman"/>
          <w:bCs/>
          <w:sz w:val="24"/>
          <w:szCs w:val="24"/>
        </w:rPr>
        <w:t xml:space="preserve"> to stipulate</w:t>
      </w:r>
      <w:r w:rsidRPr="002659AC">
        <w:rPr>
          <w:rFonts w:ascii="Times New Roman" w:hAnsi="Times New Roman" w:cs="Times New Roman"/>
          <w:bCs/>
          <w:sz w:val="24"/>
          <w:szCs w:val="24"/>
        </w:rPr>
        <w:t xml:space="preserve"> that the written agreement must be created prior to creation of the commissioned work. For instance, </w:t>
      </w:r>
      <w:r w:rsidRPr="002659AC">
        <w:rPr>
          <w:rFonts w:ascii="Times New Roman" w:hAnsi="Times New Roman" w:cs="Times New Roman"/>
          <w:sz w:val="24"/>
          <w:szCs w:val="24"/>
        </w:rPr>
        <w:t xml:space="preserve">Senator Cochran unsuccessfully introduced such legislation in 1982, 1983, 1986, 1987 and 1989. </w:t>
      </w:r>
      <w:r w:rsidRPr="002659AC">
        <w:rPr>
          <w:rStyle w:val="Emphasis"/>
          <w:rFonts w:ascii="Times New Roman" w:hAnsi="Times New Roman" w:cs="Times New Roman"/>
          <w:sz w:val="24"/>
          <w:szCs w:val="24"/>
        </w:rPr>
        <w:t>See</w:t>
      </w:r>
      <w:r w:rsidRPr="002659AC">
        <w:rPr>
          <w:rFonts w:ascii="Times New Roman" w:hAnsi="Times New Roman" w:cs="Times New Roman"/>
          <w:sz w:val="24"/>
          <w:szCs w:val="24"/>
        </w:rPr>
        <w:t xml:space="preserve"> S. 2044, 97th Cong., 2d Sess. (1982); S. 2138, 98th Cong., 1st Sess. (1983); S. 2330, 99th Cong., 2d Sess. (1986); S. 1253, </w:t>
      </w:r>
      <w:r w:rsidRPr="001B558C">
        <w:rPr>
          <w:rFonts w:ascii="Times New Roman" w:hAnsi="Times New Roman" w:cs="Times New Roman"/>
          <w:sz w:val="24"/>
          <w:szCs w:val="24"/>
        </w:rPr>
        <w:t>101st</w:t>
      </w:r>
      <w:r w:rsidRPr="002659AC">
        <w:rPr>
          <w:rFonts w:ascii="Times New Roman" w:hAnsi="Times New Roman" w:cs="Times New Roman"/>
          <w:sz w:val="24"/>
          <w:szCs w:val="24"/>
        </w:rPr>
        <w:t xml:space="preserve"> Cong., 1st Sess. (1989). </w:t>
      </w:r>
      <w:r w:rsidRPr="002659AC">
        <w:rPr>
          <w:rFonts w:ascii="Times New Roman" w:eastAsia="Times New Roman" w:hAnsi="Times New Roman" w:cs="Times New Roman"/>
          <w:sz w:val="24"/>
          <w:szCs w:val="24"/>
        </w:rPr>
        <w:t xml:space="preserve">Jennifer DUMAS, et al., Petitioners, v. PLAYBOY ENTERPRISES, INC., et al., </w:t>
      </w:r>
      <w:bookmarkStart w:id="36" w:name="CITRUS_BOOKMARK42"/>
      <w:r w:rsidRPr="00551F7A">
        <w:rPr>
          <w:rFonts w:ascii="Times New Roman" w:eastAsia="Times New Roman" w:hAnsi="Times New Roman" w:cs="Times New Roman"/>
          <w:i/>
          <w:sz w:val="24"/>
          <w:szCs w:val="24"/>
        </w:rPr>
        <w:t>Respondents</w:t>
      </w:r>
      <w:proofErr w:type="gramStart"/>
      <w:r w:rsidRPr="00551F7A">
        <w:rPr>
          <w:rFonts w:ascii="Times New Roman" w:eastAsia="Times New Roman" w:hAnsi="Times New Roman" w:cs="Times New Roman"/>
          <w:i/>
          <w:sz w:val="24"/>
          <w:szCs w:val="24"/>
        </w:rPr>
        <w:t>.</w:t>
      </w:r>
      <w:r w:rsidRPr="00551F7A">
        <w:rPr>
          <w:rFonts w:ascii="Times New Roman" w:eastAsia="Times New Roman" w:hAnsi="Times New Roman" w:cs="Times New Roman"/>
          <w:sz w:val="24"/>
          <w:szCs w:val="24"/>
        </w:rPr>
        <w:t>,</w:t>
      </w:r>
      <w:proofErr w:type="gramEnd"/>
      <w:r w:rsidRPr="00551F7A">
        <w:rPr>
          <w:rFonts w:ascii="Times New Roman" w:eastAsia="Times New Roman" w:hAnsi="Times New Roman" w:cs="Times New Roman"/>
          <w:sz w:val="24"/>
          <w:szCs w:val="24"/>
        </w:rPr>
        <w:t xml:space="preserve"> 1995 WL 17048780 (U.S. 1995)</w:t>
      </w:r>
      <w:bookmarkEnd w:id="36"/>
      <w:r w:rsidRPr="002659AC">
        <w:rPr>
          <w:rFonts w:ascii="Times New Roman" w:eastAsia="Times New Roman" w:hAnsi="Times New Roman" w:cs="Times New Roman"/>
          <w:sz w:val="24"/>
          <w:szCs w:val="24"/>
        </w:rPr>
        <w:t>, 15-16</w:t>
      </w:r>
      <w:r>
        <w:rPr>
          <w:rFonts w:ascii="Times New Roman" w:eastAsia="Times New Roman" w:hAnsi="Times New Roman" w:cs="Times New Roman"/>
          <w:sz w:val="24"/>
          <w:szCs w:val="24"/>
        </w:rPr>
        <w:t xml:space="preserve">. These proposals would have explicitly necessitated that a written agreement be created before the commissioned work was created. Cochran’s proposals were met with significant criticism. The attempts to alter the statute to include express language requiring </w:t>
      </w:r>
      <w:proofErr w:type="gramStart"/>
      <w:r>
        <w:rPr>
          <w:rFonts w:ascii="Times New Roman" w:eastAsia="Times New Roman" w:hAnsi="Times New Roman" w:cs="Times New Roman"/>
          <w:sz w:val="24"/>
          <w:szCs w:val="24"/>
        </w:rPr>
        <w:t>a writing</w:t>
      </w:r>
      <w:proofErr w:type="gramEnd"/>
      <w:r>
        <w:rPr>
          <w:rFonts w:ascii="Times New Roman" w:eastAsia="Times New Roman" w:hAnsi="Times New Roman" w:cs="Times New Roman"/>
          <w:sz w:val="24"/>
          <w:szCs w:val="24"/>
        </w:rPr>
        <w:t xml:space="preserve"> before </w:t>
      </w:r>
      <w:r>
        <w:rPr>
          <w:rFonts w:ascii="Times New Roman" w:eastAsia="Times New Roman" w:hAnsi="Times New Roman" w:cs="Times New Roman"/>
          <w:sz w:val="24"/>
          <w:szCs w:val="24"/>
        </w:rPr>
        <w:lastRenderedPageBreak/>
        <w:t xml:space="preserve">commencement of the work were unsuccessful. This is strong evidence that Congress did not desire to require </w:t>
      </w:r>
      <w:proofErr w:type="gramStart"/>
      <w:r>
        <w:rPr>
          <w:rFonts w:ascii="Times New Roman" w:eastAsia="Times New Roman" w:hAnsi="Times New Roman" w:cs="Times New Roman"/>
          <w:sz w:val="24"/>
          <w:szCs w:val="24"/>
        </w:rPr>
        <w:t>a writing</w:t>
      </w:r>
      <w:proofErr w:type="gramEnd"/>
      <w:r>
        <w:rPr>
          <w:rFonts w:ascii="Times New Roman" w:eastAsia="Times New Roman" w:hAnsi="Times New Roman" w:cs="Times New Roman"/>
          <w:sz w:val="24"/>
          <w:szCs w:val="24"/>
        </w:rPr>
        <w:t xml:space="preserve"> prior to commencement of the work.</w:t>
      </w:r>
      <w:r>
        <w:rPr>
          <w:rFonts w:ascii="Times New Roman" w:hAnsi="Times New Roman" w:cs="Times New Roman"/>
          <w:sz w:val="24"/>
          <w:szCs w:val="24"/>
        </w:rPr>
        <w:t xml:space="preserve"> </w:t>
      </w:r>
    </w:p>
    <w:p w14:paraId="0593FEF1" w14:textId="77777777" w:rsidR="002A1726" w:rsidRPr="002A1726" w:rsidRDefault="002A1726" w:rsidP="002A1726">
      <w:pPr>
        <w:spacing w:line="480" w:lineRule="auto"/>
        <w:contextualSpacing/>
        <w:rPr>
          <w:rFonts w:ascii="Times New Roman" w:eastAsia="Times New Roman" w:hAnsi="Times New Roman" w:cs="Times New Roman"/>
          <w:sz w:val="24"/>
          <w:szCs w:val="24"/>
        </w:rPr>
      </w:pPr>
    </w:p>
    <w:p w14:paraId="19A80E43" w14:textId="77777777" w:rsidR="00026021" w:rsidRPr="005D60DC" w:rsidRDefault="00B860C2" w:rsidP="00153851">
      <w:pPr>
        <w:autoSpaceDE w:val="0"/>
        <w:autoSpaceDN w:val="0"/>
        <w:adjustRightInd w:val="0"/>
        <w:spacing w:after="0" w:line="480" w:lineRule="auto"/>
        <w:contextualSpacing/>
        <w:rPr>
          <w:rFonts w:ascii="Times New Roman" w:hAnsi="Times New Roman" w:cs="Times New Roman"/>
          <w:b/>
          <w:bCs/>
          <w:sz w:val="24"/>
          <w:szCs w:val="24"/>
        </w:rPr>
      </w:pPr>
      <w:r>
        <w:rPr>
          <w:rFonts w:ascii="Times New Roman" w:hAnsi="Times New Roman" w:cs="Times New Roman"/>
          <w:b/>
          <w:bCs/>
          <w:sz w:val="24"/>
          <w:szCs w:val="24"/>
        </w:rPr>
        <w:t>C</w:t>
      </w:r>
      <w:r w:rsidR="007F73AE">
        <w:rPr>
          <w:rFonts w:ascii="Times New Roman" w:hAnsi="Times New Roman" w:cs="Times New Roman"/>
          <w:b/>
          <w:bCs/>
          <w:sz w:val="24"/>
          <w:szCs w:val="24"/>
        </w:rPr>
        <w:t xml:space="preserve">. </w:t>
      </w:r>
      <w:r w:rsidR="006B52CB">
        <w:rPr>
          <w:rFonts w:ascii="Times New Roman" w:hAnsi="Times New Roman" w:cs="Times New Roman"/>
          <w:b/>
          <w:bCs/>
          <w:sz w:val="24"/>
          <w:szCs w:val="24"/>
        </w:rPr>
        <w:t>Courts have held that the written and signed agreement does not have to be generated prior to the creation of the commissioned work.</w:t>
      </w:r>
    </w:p>
    <w:p w14:paraId="5F37E858" w14:textId="77777777" w:rsidR="00FE20B9" w:rsidRDefault="00F13A48" w:rsidP="009B278C">
      <w:pPr>
        <w:spacing w:after="240" w:line="480" w:lineRule="auto"/>
        <w:ind w:firstLine="720"/>
        <w:contextualSpacing/>
        <w:rPr>
          <w:rFonts w:ascii="Times New Roman" w:hAnsi="Times New Roman" w:cs="Times New Roman"/>
          <w:sz w:val="24"/>
          <w:szCs w:val="24"/>
          <w:vertAlign w:val="superscript"/>
        </w:rPr>
      </w:pPr>
      <w:r>
        <w:rPr>
          <w:rFonts w:ascii="Times New Roman" w:hAnsi="Times New Roman" w:cs="Times New Roman"/>
          <w:bCs/>
          <w:sz w:val="24"/>
          <w:szCs w:val="24"/>
        </w:rPr>
        <w:t>The</w:t>
      </w:r>
      <w:r w:rsidR="00145C27">
        <w:rPr>
          <w:rFonts w:ascii="Times New Roman" w:hAnsi="Times New Roman" w:cs="Times New Roman"/>
          <w:bCs/>
          <w:sz w:val="24"/>
          <w:szCs w:val="24"/>
        </w:rPr>
        <w:t xml:space="preserve"> courts are split on the issue of whether a written agreement is valid before, during, or after the creation of the commissioned work due to a statutory silence as to what is required. </w:t>
      </w:r>
      <w:r w:rsidR="00850594">
        <w:rPr>
          <w:rFonts w:ascii="Times New Roman" w:hAnsi="Times New Roman" w:cs="Times New Roman"/>
          <w:bCs/>
          <w:sz w:val="24"/>
          <w:szCs w:val="24"/>
        </w:rPr>
        <w:t>For instance, the Seventh</w:t>
      </w:r>
      <w:r w:rsidR="00A423F8" w:rsidRPr="00D97AA2">
        <w:rPr>
          <w:rFonts w:ascii="Times New Roman" w:hAnsi="Times New Roman" w:cs="Times New Roman"/>
          <w:bCs/>
          <w:sz w:val="24"/>
          <w:szCs w:val="24"/>
        </w:rPr>
        <w:t xml:space="preserve"> Circuit Court held in </w:t>
      </w:r>
      <w:r w:rsidR="00A31536" w:rsidRPr="00A31536">
        <w:rPr>
          <w:rFonts w:ascii="Times New Roman" w:hAnsi="Times New Roman" w:cs="Times New Roman"/>
          <w:bCs/>
          <w:i/>
          <w:sz w:val="24"/>
          <w:szCs w:val="24"/>
        </w:rPr>
        <w:t xml:space="preserve">Schiller &amp; Schmidt v. </w:t>
      </w:r>
      <w:proofErr w:type="spellStart"/>
      <w:r w:rsidR="00A31536" w:rsidRPr="00A31536">
        <w:rPr>
          <w:rFonts w:ascii="Times New Roman" w:hAnsi="Times New Roman" w:cs="Times New Roman"/>
          <w:bCs/>
          <w:i/>
          <w:sz w:val="24"/>
          <w:szCs w:val="24"/>
        </w:rPr>
        <w:t>Nordisco</w:t>
      </w:r>
      <w:proofErr w:type="spellEnd"/>
      <w:r w:rsidR="00A31536">
        <w:rPr>
          <w:rFonts w:ascii="Times New Roman" w:hAnsi="Times New Roman" w:cs="Times New Roman"/>
          <w:bCs/>
          <w:i/>
          <w:sz w:val="24"/>
          <w:szCs w:val="24"/>
        </w:rPr>
        <w:t xml:space="preserve"> Corp.</w:t>
      </w:r>
      <w:r w:rsidR="00A31536">
        <w:rPr>
          <w:rFonts w:ascii="Times New Roman" w:hAnsi="Times New Roman" w:cs="Times New Roman"/>
          <w:bCs/>
          <w:sz w:val="24"/>
          <w:szCs w:val="24"/>
        </w:rPr>
        <w:t xml:space="preserve"> </w:t>
      </w:r>
      <w:r w:rsidR="00A423F8" w:rsidRPr="00D97AA2">
        <w:rPr>
          <w:rFonts w:ascii="Times New Roman" w:hAnsi="Times New Roman" w:cs="Times New Roman"/>
          <w:bCs/>
          <w:sz w:val="24"/>
          <w:szCs w:val="24"/>
        </w:rPr>
        <w:t>that in order to be a valid work made for hire agreement</w:t>
      </w:r>
      <w:r w:rsidR="00A31536">
        <w:rPr>
          <w:rFonts w:ascii="Times New Roman" w:hAnsi="Times New Roman" w:cs="Times New Roman"/>
          <w:bCs/>
          <w:sz w:val="24"/>
          <w:szCs w:val="24"/>
        </w:rPr>
        <w:t>,</w:t>
      </w:r>
      <w:r w:rsidR="00A423F8" w:rsidRPr="00D97AA2">
        <w:rPr>
          <w:rFonts w:ascii="Times New Roman" w:hAnsi="Times New Roman" w:cs="Times New Roman"/>
          <w:bCs/>
          <w:sz w:val="24"/>
          <w:szCs w:val="24"/>
        </w:rPr>
        <w:t xml:space="preserve"> the parties not only must have agreed before the work was commenced that the transfer of rights would</w:t>
      </w:r>
      <w:r w:rsidR="00A31536">
        <w:rPr>
          <w:rFonts w:ascii="Times New Roman" w:hAnsi="Times New Roman" w:cs="Times New Roman"/>
          <w:bCs/>
          <w:sz w:val="24"/>
          <w:szCs w:val="24"/>
        </w:rPr>
        <w:t xml:space="preserve"> be as a work made for hire. </w:t>
      </w:r>
      <w:bookmarkStart w:id="37" w:name="CITRUS_BOOKMARK69"/>
      <w:r w:rsidR="00A31536" w:rsidRPr="00551F7A">
        <w:rPr>
          <w:rFonts w:ascii="Times New Roman" w:hAnsi="Times New Roman" w:cs="Times New Roman"/>
          <w:bCs/>
          <w:iCs/>
          <w:sz w:val="24"/>
          <w:szCs w:val="24"/>
        </w:rPr>
        <w:t>969 F.2d 410 (7th Cir. 1992)</w:t>
      </w:r>
      <w:bookmarkEnd w:id="37"/>
      <w:r w:rsidR="00A31536" w:rsidRPr="00D97AA2">
        <w:rPr>
          <w:rFonts w:ascii="Times New Roman" w:hAnsi="Times New Roman" w:cs="Times New Roman"/>
          <w:bCs/>
          <w:sz w:val="24"/>
          <w:szCs w:val="24"/>
        </w:rPr>
        <w:t xml:space="preserve"> </w:t>
      </w:r>
      <w:r w:rsidR="0082280E">
        <w:rPr>
          <w:rFonts w:ascii="Times New Roman" w:hAnsi="Times New Roman" w:cs="Times New Roman"/>
          <w:bCs/>
          <w:sz w:val="24"/>
          <w:szCs w:val="24"/>
        </w:rPr>
        <w:t>M</w:t>
      </w:r>
      <w:r w:rsidR="00A423F8" w:rsidRPr="00D97AA2">
        <w:rPr>
          <w:rFonts w:ascii="Times New Roman" w:hAnsi="Times New Roman" w:cs="Times New Roman"/>
          <w:bCs/>
          <w:sz w:val="24"/>
          <w:szCs w:val="24"/>
        </w:rPr>
        <w:t>ore importantly, the actual agreement must have been signed by the parties prior to work having been even commenced.</w:t>
      </w:r>
      <w:r w:rsidR="00D97AA2" w:rsidRPr="00D97AA2">
        <w:rPr>
          <w:rFonts w:ascii="Times New Roman" w:hAnsi="Times New Roman" w:cs="Times New Roman"/>
          <w:sz w:val="24"/>
          <w:szCs w:val="24"/>
        </w:rPr>
        <w:t xml:space="preserve"> </w:t>
      </w:r>
      <w:r w:rsidR="008F5D29" w:rsidRPr="006C52AB">
        <w:rPr>
          <w:rFonts w:ascii="Times New Roman" w:hAnsi="Times New Roman" w:cs="Times New Roman"/>
          <w:sz w:val="24"/>
          <w:szCs w:val="24"/>
        </w:rPr>
        <w:t>(</w:t>
      </w:r>
      <w:r w:rsidR="008F5D29" w:rsidRPr="00551F7A">
        <w:rPr>
          <w:rFonts w:ascii="Times New Roman" w:hAnsi="Times New Roman" w:cs="Times New Roman"/>
          <w:i/>
          <w:sz w:val="24"/>
          <w:szCs w:val="24"/>
        </w:rPr>
        <w:t>Id</w:t>
      </w:r>
      <w:r w:rsidR="008F5D29" w:rsidRPr="006C52AB">
        <w:rPr>
          <w:rFonts w:ascii="Times New Roman" w:hAnsi="Times New Roman" w:cs="Times New Roman"/>
          <w:i/>
          <w:sz w:val="24"/>
          <w:szCs w:val="24"/>
        </w:rPr>
        <w:t>.</w:t>
      </w:r>
      <w:r w:rsidR="008F5D29" w:rsidRPr="006C52AB">
        <w:rPr>
          <w:rFonts w:ascii="Times New Roman" w:hAnsi="Times New Roman" w:cs="Times New Roman"/>
          <w:sz w:val="24"/>
          <w:szCs w:val="24"/>
        </w:rPr>
        <w:t>)</w:t>
      </w:r>
      <w:r w:rsidR="00201611">
        <w:rPr>
          <w:rFonts w:ascii="Times New Roman" w:hAnsi="Times New Roman" w:cs="Times New Roman"/>
          <w:sz w:val="24"/>
          <w:szCs w:val="24"/>
        </w:rPr>
        <w:t xml:space="preserve"> </w:t>
      </w:r>
      <w:r w:rsidR="00D97AA2" w:rsidRPr="00D97AA2">
        <w:rPr>
          <w:rFonts w:ascii="Times New Roman" w:hAnsi="Times New Roman" w:cs="Times New Roman"/>
          <w:sz w:val="24"/>
          <w:szCs w:val="24"/>
        </w:rPr>
        <w:t>The basis for their decision was that this approach best carries out the goals of copyright law in that it identifies from the beginning</w:t>
      </w:r>
      <w:r w:rsidR="00D97AA2">
        <w:rPr>
          <w:rFonts w:ascii="Times New Roman" w:hAnsi="Times New Roman" w:cs="Times New Roman"/>
          <w:sz w:val="24"/>
          <w:szCs w:val="24"/>
        </w:rPr>
        <w:t xml:space="preserve"> the party that is the intellectual property owner</w:t>
      </w:r>
      <w:r w:rsidR="00D97AA2" w:rsidRPr="00D97AA2">
        <w:rPr>
          <w:rFonts w:ascii="Times New Roman" w:hAnsi="Times New Roman" w:cs="Times New Roman"/>
          <w:sz w:val="24"/>
          <w:szCs w:val="24"/>
        </w:rPr>
        <w:t>.</w:t>
      </w:r>
      <w:r w:rsidR="008F5D29">
        <w:rPr>
          <w:rFonts w:ascii="Times New Roman" w:hAnsi="Times New Roman" w:cs="Times New Roman"/>
          <w:sz w:val="24"/>
          <w:szCs w:val="24"/>
        </w:rPr>
        <w:t xml:space="preserve"> </w:t>
      </w:r>
      <w:r w:rsidR="008F5D29" w:rsidRPr="006C52AB">
        <w:rPr>
          <w:rFonts w:ascii="Times New Roman" w:hAnsi="Times New Roman" w:cs="Times New Roman"/>
          <w:sz w:val="24"/>
          <w:szCs w:val="24"/>
        </w:rPr>
        <w:t>(</w:t>
      </w:r>
      <w:r w:rsidR="008F5D29" w:rsidRPr="00551F7A">
        <w:rPr>
          <w:rFonts w:ascii="Times New Roman" w:hAnsi="Times New Roman" w:cs="Times New Roman"/>
          <w:i/>
          <w:sz w:val="24"/>
          <w:szCs w:val="24"/>
        </w:rPr>
        <w:t>Id</w:t>
      </w:r>
      <w:r w:rsidR="008F5D29" w:rsidRPr="006C52AB">
        <w:rPr>
          <w:rFonts w:ascii="Times New Roman" w:hAnsi="Times New Roman" w:cs="Times New Roman"/>
          <w:i/>
          <w:sz w:val="24"/>
          <w:szCs w:val="24"/>
        </w:rPr>
        <w:t>.</w:t>
      </w:r>
      <w:r w:rsidR="008F5D29" w:rsidRPr="006C52AB">
        <w:rPr>
          <w:rFonts w:ascii="Times New Roman" w:hAnsi="Times New Roman" w:cs="Times New Roman"/>
          <w:sz w:val="24"/>
          <w:szCs w:val="24"/>
        </w:rPr>
        <w:t>)</w:t>
      </w:r>
      <w:r w:rsidR="008F5D29">
        <w:rPr>
          <w:rFonts w:ascii="Times New Roman" w:hAnsi="Times New Roman" w:cs="Times New Roman"/>
          <w:sz w:val="24"/>
          <w:szCs w:val="24"/>
        </w:rPr>
        <w:t xml:space="preserve"> </w:t>
      </w:r>
      <w:r w:rsidR="00D97AA2" w:rsidRPr="00D97AA2">
        <w:rPr>
          <w:rFonts w:ascii="Times New Roman" w:hAnsi="Times New Roman" w:cs="Times New Roman"/>
          <w:sz w:val="24"/>
          <w:szCs w:val="24"/>
        </w:rPr>
        <w:t xml:space="preserve"> </w:t>
      </w:r>
      <w:r w:rsidR="00A423F8" w:rsidRPr="00D97AA2">
        <w:rPr>
          <w:rFonts w:ascii="Times New Roman" w:hAnsi="Times New Roman" w:cs="Times New Roman"/>
          <w:sz w:val="24"/>
          <w:szCs w:val="24"/>
          <w:vertAlign w:val="superscript"/>
        </w:rPr>
        <w:t xml:space="preserve"> </w:t>
      </w:r>
    </w:p>
    <w:p w14:paraId="7ED96729" w14:textId="77777777" w:rsidR="007E1440" w:rsidRDefault="00D97AA2" w:rsidP="00A63F95">
      <w:pPr>
        <w:spacing w:after="240" w:line="480" w:lineRule="auto"/>
        <w:ind w:firstLine="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the other side of the issue, </w:t>
      </w:r>
      <w:r w:rsidR="009A7F00">
        <w:rPr>
          <w:rFonts w:ascii="Times New Roman" w:hAnsi="Times New Roman" w:cs="Times New Roman"/>
          <w:bCs/>
          <w:sz w:val="24"/>
          <w:szCs w:val="24"/>
        </w:rPr>
        <w:t>the Second C</w:t>
      </w:r>
      <w:r>
        <w:rPr>
          <w:rFonts w:ascii="Times New Roman" w:hAnsi="Times New Roman" w:cs="Times New Roman"/>
          <w:bCs/>
          <w:sz w:val="24"/>
          <w:szCs w:val="24"/>
        </w:rPr>
        <w:t xml:space="preserve">ircuit Court of Appeals held </w:t>
      </w:r>
      <w:r w:rsidR="00805492" w:rsidRPr="00113BB5">
        <w:rPr>
          <w:rFonts w:ascii="Times New Roman" w:hAnsi="Times New Roman" w:cs="Times New Roman"/>
          <w:bCs/>
          <w:sz w:val="24"/>
          <w:szCs w:val="24"/>
        </w:rPr>
        <w:t xml:space="preserve">in </w:t>
      </w:r>
      <w:r w:rsidR="00805492" w:rsidRPr="005D5CFF">
        <w:rPr>
          <w:rFonts w:ascii="Times New Roman" w:hAnsi="Times New Roman" w:cs="Times New Roman"/>
          <w:bCs/>
          <w:i/>
          <w:sz w:val="24"/>
          <w:szCs w:val="24"/>
        </w:rPr>
        <w:t>Playboy v. Dumas</w:t>
      </w:r>
      <w:r w:rsidR="00805492" w:rsidRPr="00113BB5">
        <w:rPr>
          <w:rFonts w:ascii="Times New Roman" w:hAnsi="Times New Roman" w:cs="Times New Roman"/>
          <w:bCs/>
          <w:sz w:val="24"/>
          <w:szCs w:val="24"/>
        </w:rPr>
        <w:t>, “</w:t>
      </w:r>
      <w:r w:rsidR="00805492" w:rsidRPr="00113BB5">
        <w:rPr>
          <w:rFonts w:ascii="Times New Roman" w:hAnsi="Times New Roman" w:cs="Times New Roman"/>
          <w:bCs/>
          <w:iCs/>
          <w:sz w:val="24"/>
          <w:szCs w:val="24"/>
        </w:rPr>
        <w:t>We therefore find that the 1976 Act requires that the parties agree before the creation of the work that it will be a work made for hire. We are not convinced, however, that the actual writing memorializing the agreement must be executed before the creation of the work.</w:t>
      </w:r>
      <w:r w:rsidR="00805492" w:rsidRPr="00113BB5">
        <w:rPr>
          <w:rFonts w:ascii="Times New Roman" w:hAnsi="Times New Roman" w:cs="Times New Roman"/>
          <w:sz w:val="24"/>
          <w:szCs w:val="24"/>
        </w:rPr>
        <w:t xml:space="preserve">" </w:t>
      </w:r>
      <w:r w:rsidR="007A12A4">
        <w:rPr>
          <w:rFonts w:ascii="Times New Roman" w:hAnsi="Times New Roman" w:cs="Times New Roman"/>
          <w:sz w:val="24"/>
          <w:szCs w:val="24"/>
        </w:rPr>
        <w:t>The Eleventh</w:t>
      </w:r>
      <w:r w:rsidR="00BE6245">
        <w:rPr>
          <w:rFonts w:ascii="Times New Roman" w:hAnsi="Times New Roman" w:cs="Times New Roman"/>
          <w:sz w:val="24"/>
          <w:szCs w:val="24"/>
        </w:rPr>
        <w:t xml:space="preserve"> Circuit Court of Appeals agreed</w:t>
      </w:r>
      <w:r w:rsidR="00CE1046">
        <w:rPr>
          <w:rFonts w:ascii="Times New Roman" w:hAnsi="Times New Roman" w:cs="Times New Roman"/>
          <w:sz w:val="24"/>
          <w:szCs w:val="24"/>
        </w:rPr>
        <w:t xml:space="preserve"> with t</w:t>
      </w:r>
      <w:r w:rsidR="00BE6245">
        <w:rPr>
          <w:rFonts w:ascii="Times New Roman" w:hAnsi="Times New Roman" w:cs="Times New Roman"/>
          <w:sz w:val="24"/>
          <w:szCs w:val="24"/>
        </w:rPr>
        <w:t xml:space="preserve">he stance of the </w:t>
      </w:r>
      <w:r w:rsidR="00BE6245" w:rsidRPr="00512681">
        <w:rPr>
          <w:rFonts w:ascii="Times New Roman" w:hAnsi="Times New Roman" w:cs="Times New Roman"/>
          <w:i/>
          <w:sz w:val="24"/>
          <w:szCs w:val="24"/>
        </w:rPr>
        <w:t xml:space="preserve">Playboy </w:t>
      </w:r>
      <w:r w:rsidR="00BE6245">
        <w:rPr>
          <w:rFonts w:ascii="Times New Roman" w:hAnsi="Times New Roman" w:cs="Times New Roman"/>
          <w:sz w:val="24"/>
          <w:szCs w:val="24"/>
        </w:rPr>
        <w:t xml:space="preserve">court in </w:t>
      </w:r>
      <w:bookmarkStart w:id="38" w:name="CITRUS_BOOKMARK49"/>
      <w:r w:rsidR="00925588" w:rsidRPr="00551F7A">
        <w:rPr>
          <w:rFonts w:ascii="Times New Roman" w:hAnsi="Times New Roman" w:cs="Times New Roman"/>
          <w:i/>
          <w:sz w:val="24"/>
          <w:szCs w:val="24"/>
        </w:rPr>
        <w:t>Imperial Residential Design v. Palms Dev. Group</w:t>
      </w:r>
      <w:r w:rsidR="00925588" w:rsidRPr="00551F7A">
        <w:rPr>
          <w:rFonts w:ascii="Times New Roman" w:hAnsi="Times New Roman" w:cs="Times New Roman"/>
          <w:sz w:val="24"/>
          <w:szCs w:val="24"/>
        </w:rPr>
        <w:t>, 70 F.3d 96, 99 (11th Cir. 1995)</w:t>
      </w:r>
      <w:bookmarkEnd w:id="38"/>
      <w:r w:rsidR="0043459B">
        <w:rPr>
          <w:rFonts w:ascii="Times New Roman" w:hAnsi="Times New Roman" w:cs="Times New Roman"/>
          <w:sz w:val="24"/>
          <w:szCs w:val="24"/>
        </w:rPr>
        <w:t>. The Eleventh</w:t>
      </w:r>
      <w:r w:rsidR="00BE6245">
        <w:rPr>
          <w:rFonts w:ascii="Times New Roman" w:hAnsi="Times New Roman" w:cs="Times New Roman"/>
          <w:sz w:val="24"/>
          <w:szCs w:val="24"/>
        </w:rPr>
        <w:t xml:space="preserve"> Circuit Court of Appeals determined that “works for </w:t>
      </w:r>
      <w:r w:rsidR="00CE1046" w:rsidRPr="00CE1046">
        <w:rPr>
          <w:rFonts w:ascii="Times New Roman" w:hAnsi="Times New Roman" w:cs="Times New Roman"/>
          <w:sz w:val="24"/>
          <w:szCs w:val="24"/>
        </w:rPr>
        <w:t>hire”</w:t>
      </w:r>
      <w:r w:rsidR="00BE6245">
        <w:rPr>
          <w:rFonts w:ascii="Times New Roman" w:hAnsi="Times New Roman" w:cs="Times New Roman"/>
          <w:sz w:val="24"/>
          <w:szCs w:val="24"/>
        </w:rPr>
        <w:t xml:space="preserve"> be construed similarly to transfers and decided that</w:t>
      </w:r>
      <w:r w:rsidR="00CE1046" w:rsidRPr="00CE1046">
        <w:rPr>
          <w:rFonts w:ascii="Times New Roman" w:hAnsi="Times New Roman" w:cs="Times New Roman"/>
          <w:sz w:val="24"/>
          <w:szCs w:val="24"/>
        </w:rPr>
        <w:t xml:space="preserve"> the </w:t>
      </w:r>
      <w:r w:rsidR="00BE6245">
        <w:rPr>
          <w:rFonts w:ascii="Times New Roman" w:hAnsi="Times New Roman" w:cs="Times New Roman"/>
          <w:sz w:val="24"/>
          <w:szCs w:val="24"/>
        </w:rPr>
        <w:t xml:space="preserve">plain language of the </w:t>
      </w:r>
      <w:r w:rsidR="00CE1046" w:rsidRPr="00CE1046">
        <w:rPr>
          <w:rFonts w:ascii="Times New Roman" w:hAnsi="Times New Roman" w:cs="Times New Roman"/>
          <w:sz w:val="24"/>
          <w:szCs w:val="24"/>
        </w:rPr>
        <w:t>Copyright Act does not indicate any timing designation to the writing requirement.</w:t>
      </w:r>
      <w:r w:rsidR="009C364E">
        <w:rPr>
          <w:rFonts w:ascii="Times New Roman" w:hAnsi="Times New Roman" w:cs="Times New Roman"/>
          <w:sz w:val="24"/>
          <w:szCs w:val="24"/>
        </w:rPr>
        <w:t xml:space="preserve"> </w:t>
      </w:r>
      <w:r w:rsidR="00925588" w:rsidRPr="006C52AB">
        <w:rPr>
          <w:rFonts w:ascii="Times New Roman" w:hAnsi="Times New Roman" w:cs="Times New Roman"/>
          <w:sz w:val="24"/>
          <w:szCs w:val="24"/>
        </w:rPr>
        <w:t>(</w:t>
      </w:r>
      <w:bookmarkStart w:id="39" w:name="CITRUS_BOOKMARK1000000074"/>
      <w:r w:rsidR="00925588" w:rsidRPr="00551F7A">
        <w:rPr>
          <w:rFonts w:ascii="Times New Roman" w:hAnsi="Times New Roman" w:cs="Times New Roman"/>
          <w:i/>
          <w:sz w:val="24"/>
          <w:szCs w:val="24"/>
        </w:rPr>
        <w:t>Id</w:t>
      </w:r>
      <w:bookmarkEnd w:id="39"/>
      <w:r w:rsidR="00925588" w:rsidRPr="006C52AB">
        <w:rPr>
          <w:rFonts w:ascii="Times New Roman" w:hAnsi="Times New Roman" w:cs="Times New Roman"/>
          <w:i/>
          <w:sz w:val="24"/>
          <w:szCs w:val="24"/>
        </w:rPr>
        <w:t>.</w:t>
      </w:r>
      <w:r w:rsidR="00925588" w:rsidRPr="006C52AB">
        <w:rPr>
          <w:rFonts w:ascii="Times New Roman" w:hAnsi="Times New Roman" w:cs="Times New Roman"/>
          <w:sz w:val="24"/>
          <w:szCs w:val="24"/>
        </w:rPr>
        <w:t xml:space="preserve">) </w:t>
      </w:r>
      <w:r w:rsidR="00CE1046" w:rsidRPr="00CE1046">
        <w:rPr>
          <w:rFonts w:ascii="Times New Roman" w:hAnsi="Times New Roman" w:cs="Times New Roman"/>
          <w:sz w:val="24"/>
          <w:szCs w:val="24"/>
        </w:rPr>
        <w:t xml:space="preserve">“Additionally, with respect to the timing of an assignment or </w:t>
      </w:r>
      <w:r w:rsidR="00CE1046" w:rsidRPr="00CE1046">
        <w:rPr>
          <w:rFonts w:ascii="Times New Roman" w:hAnsi="Times New Roman" w:cs="Times New Roman"/>
          <w:sz w:val="24"/>
          <w:szCs w:val="24"/>
        </w:rPr>
        <w:lastRenderedPageBreak/>
        <w:t>transfer agreement, the Court notes</w:t>
      </w:r>
      <w:r w:rsidR="007B576E">
        <w:rPr>
          <w:rFonts w:ascii="Times New Roman" w:hAnsi="Times New Roman" w:cs="Times New Roman"/>
          <w:sz w:val="24"/>
          <w:szCs w:val="24"/>
        </w:rPr>
        <w:t xml:space="preserve"> </w:t>
      </w:r>
      <w:r w:rsidR="00CE1046" w:rsidRPr="00CE1046">
        <w:rPr>
          <w:rFonts w:ascii="Times New Roman" w:hAnsi="Times New Roman" w:cs="Times New Roman"/>
          <w:sz w:val="24"/>
          <w:szCs w:val="24"/>
        </w:rPr>
        <w:t>that, as with a work-for-hire agreement, the Copyright Act does not specify a time period for</w:t>
      </w:r>
      <w:r w:rsidR="007B576E">
        <w:rPr>
          <w:rFonts w:ascii="Times New Roman" w:hAnsi="Times New Roman" w:cs="Times New Roman"/>
          <w:sz w:val="24"/>
          <w:szCs w:val="24"/>
        </w:rPr>
        <w:t xml:space="preserve"> </w:t>
      </w:r>
      <w:r w:rsidR="00CE1046" w:rsidRPr="00CE1046">
        <w:rPr>
          <w:rFonts w:ascii="Times New Roman" w:hAnsi="Times New Roman" w:cs="Times New Roman"/>
          <w:sz w:val="24"/>
          <w:szCs w:val="24"/>
        </w:rPr>
        <w:t>the execution of the assignment doc</w:t>
      </w:r>
      <w:r w:rsidR="007B576E">
        <w:rPr>
          <w:rFonts w:ascii="Times New Roman" w:hAnsi="Times New Roman" w:cs="Times New Roman"/>
          <w:sz w:val="24"/>
          <w:szCs w:val="24"/>
        </w:rPr>
        <w:t>ument.”</w:t>
      </w:r>
      <w:r w:rsidR="009C364E" w:rsidRPr="009C364E">
        <w:rPr>
          <w:rFonts w:ascii="Times New Roman" w:hAnsi="Times New Roman" w:cs="Times New Roman"/>
          <w:i/>
          <w:sz w:val="24"/>
          <w:szCs w:val="24"/>
        </w:rPr>
        <w:t xml:space="preserve"> </w:t>
      </w:r>
      <w:r w:rsidR="00925588" w:rsidRPr="006C52AB">
        <w:rPr>
          <w:rFonts w:ascii="Times New Roman" w:hAnsi="Times New Roman" w:cs="Times New Roman"/>
          <w:sz w:val="24"/>
          <w:szCs w:val="24"/>
        </w:rPr>
        <w:t>(</w:t>
      </w:r>
      <w:bookmarkStart w:id="40" w:name="CITRUS_BOOKMARK1000000075"/>
      <w:r w:rsidR="00925588" w:rsidRPr="00551F7A">
        <w:rPr>
          <w:rFonts w:ascii="Times New Roman" w:hAnsi="Times New Roman" w:cs="Times New Roman"/>
          <w:i/>
          <w:sz w:val="24"/>
          <w:szCs w:val="24"/>
        </w:rPr>
        <w:t>Id</w:t>
      </w:r>
      <w:bookmarkEnd w:id="40"/>
      <w:r w:rsidR="00925588" w:rsidRPr="006C52AB">
        <w:rPr>
          <w:rFonts w:ascii="Times New Roman" w:hAnsi="Times New Roman" w:cs="Times New Roman"/>
          <w:i/>
          <w:sz w:val="24"/>
          <w:szCs w:val="24"/>
        </w:rPr>
        <w:t>.</w:t>
      </w:r>
      <w:r w:rsidR="00925588" w:rsidRPr="006C52AB">
        <w:rPr>
          <w:rFonts w:ascii="Times New Roman" w:hAnsi="Times New Roman" w:cs="Times New Roman"/>
          <w:sz w:val="24"/>
          <w:szCs w:val="24"/>
        </w:rPr>
        <w:t xml:space="preserve">) </w:t>
      </w:r>
      <w:r w:rsidR="002154D9">
        <w:rPr>
          <w:rFonts w:ascii="Times New Roman" w:hAnsi="Times New Roman" w:cs="Times New Roman"/>
          <w:sz w:val="24"/>
          <w:szCs w:val="24"/>
        </w:rPr>
        <w:t>The Eleventh</w:t>
      </w:r>
      <w:r w:rsidR="007B576E">
        <w:rPr>
          <w:rFonts w:ascii="Times New Roman" w:hAnsi="Times New Roman" w:cs="Times New Roman"/>
          <w:sz w:val="24"/>
          <w:szCs w:val="24"/>
        </w:rPr>
        <w:t xml:space="preserve"> Circuit </w:t>
      </w:r>
      <w:r w:rsidR="002154D9">
        <w:rPr>
          <w:rFonts w:ascii="Times New Roman" w:hAnsi="Times New Roman" w:cs="Times New Roman"/>
          <w:sz w:val="24"/>
          <w:szCs w:val="24"/>
        </w:rPr>
        <w:t xml:space="preserve">Court </w:t>
      </w:r>
      <w:r w:rsidR="007B576E">
        <w:rPr>
          <w:rFonts w:ascii="Times New Roman" w:hAnsi="Times New Roman" w:cs="Times New Roman"/>
          <w:sz w:val="24"/>
          <w:szCs w:val="24"/>
        </w:rPr>
        <w:t xml:space="preserve">further held </w:t>
      </w:r>
      <w:r w:rsidR="00CE1046" w:rsidRPr="00CE1046">
        <w:rPr>
          <w:rFonts w:ascii="Times New Roman" w:hAnsi="Times New Roman" w:cs="Times New Roman"/>
          <w:sz w:val="24"/>
          <w:szCs w:val="24"/>
        </w:rPr>
        <w:t>that “a</w:t>
      </w:r>
      <w:r w:rsidR="007B576E">
        <w:rPr>
          <w:rFonts w:ascii="Times New Roman" w:hAnsi="Times New Roman" w:cs="Times New Roman"/>
          <w:sz w:val="24"/>
          <w:szCs w:val="24"/>
        </w:rPr>
        <w:t xml:space="preserve"> </w:t>
      </w:r>
      <w:r w:rsidR="00CE1046" w:rsidRPr="00CE1046">
        <w:rPr>
          <w:rFonts w:ascii="Times New Roman" w:hAnsi="Times New Roman" w:cs="Times New Roman"/>
          <w:sz w:val="24"/>
          <w:szCs w:val="24"/>
        </w:rPr>
        <w:t>copyright owner's later execution of a writing which confirms an earlier oral agreement validates</w:t>
      </w:r>
      <w:r w:rsidR="007B576E">
        <w:rPr>
          <w:rFonts w:ascii="Times New Roman" w:hAnsi="Times New Roman" w:cs="Times New Roman"/>
          <w:sz w:val="24"/>
          <w:szCs w:val="24"/>
        </w:rPr>
        <w:t xml:space="preserve"> transfer </w:t>
      </w:r>
      <w:proofErr w:type="spellStart"/>
      <w:r w:rsidR="007B576E">
        <w:rPr>
          <w:rFonts w:ascii="Times New Roman" w:hAnsi="Times New Roman" w:cs="Times New Roman"/>
          <w:sz w:val="24"/>
          <w:szCs w:val="24"/>
        </w:rPr>
        <w:t>ab</w:t>
      </w:r>
      <w:proofErr w:type="spellEnd"/>
      <w:r w:rsidR="007B576E">
        <w:rPr>
          <w:rFonts w:ascii="Times New Roman" w:hAnsi="Times New Roman" w:cs="Times New Roman"/>
          <w:sz w:val="24"/>
          <w:szCs w:val="24"/>
        </w:rPr>
        <w:t xml:space="preserve"> initio.” </w:t>
      </w:r>
      <w:r w:rsidR="006C152B" w:rsidRPr="006C52AB">
        <w:rPr>
          <w:rFonts w:ascii="Times New Roman" w:hAnsi="Times New Roman" w:cs="Times New Roman"/>
          <w:sz w:val="24"/>
          <w:szCs w:val="24"/>
        </w:rPr>
        <w:t>(</w:t>
      </w:r>
      <w:bookmarkStart w:id="41" w:name="CITRUS_BOOKMARK1000000076"/>
      <w:r w:rsidR="006C152B" w:rsidRPr="00551F7A">
        <w:rPr>
          <w:rFonts w:ascii="Times New Roman" w:hAnsi="Times New Roman" w:cs="Times New Roman"/>
          <w:i/>
          <w:sz w:val="24"/>
          <w:szCs w:val="24"/>
        </w:rPr>
        <w:t>Id</w:t>
      </w:r>
      <w:bookmarkEnd w:id="41"/>
      <w:r w:rsidR="006C152B" w:rsidRPr="006C52AB">
        <w:rPr>
          <w:rFonts w:ascii="Times New Roman" w:hAnsi="Times New Roman" w:cs="Times New Roman"/>
          <w:i/>
          <w:sz w:val="24"/>
          <w:szCs w:val="24"/>
        </w:rPr>
        <w:t>.</w:t>
      </w:r>
      <w:r w:rsidR="006C152B" w:rsidRPr="006C52AB">
        <w:rPr>
          <w:rFonts w:ascii="Times New Roman" w:hAnsi="Times New Roman" w:cs="Times New Roman"/>
          <w:sz w:val="24"/>
          <w:szCs w:val="24"/>
        </w:rPr>
        <w:t xml:space="preserve">) </w:t>
      </w:r>
      <w:r w:rsidR="00A63F95" w:rsidRPr="00A63F95">
        <w:rPr>
          <w:rFonts w:ascii="Times New Roman" w:hAnsi="Times New Roman" w:cs="Times New Roman"/>
          <w:i/>
          <w:sz w:val="24"/>
          <w:szCs w:val="24"/>
        </w:rPr>
        <w:t xml:space="preserve">Compaq Computer Corp. v. </w:t>
      </w:r>
      <w:proofErr w:type="spellStart"/>
      <w:r w:rsidR="00A63F95" w:rsidRPr="00A63F95">
        <w:rPr>
          <w:rFonts w:ascii="Times New Roman" w:hAnsi="Times New Roman" w:cs="Times New Roman"/>
          <w:i/>
          <w:sz w:val="24"/>
          <w:szCs w:val="24"/>
        </w:rPr>
        <w:t>Ergonome</w:t>
      </w:r>
      <w:proofErr w:type="spellEnd"/>
      <w:r w:rsidR="00A63F95" w:rsidRPr="00A63F95">
        <w:rPr>
          <w:rFonts w:ascii="Times New Roman" w:hAnsi="Times New Roman" w:cs="Times New Roman"/>
          <w:i/>
          <w:sz w:val="24"/>
          <w:szCs w:val="24"/>
        </w:rPr>
        <w:t xml:space="preserve"> Inc</w:t>
      </w:r>
      <w:r w:rsidR="00A63F95">
        <w:rPr>
          <w:rFonts w:ascii="Times New Roman" w:hAnsi="Times New Roman" w:cs="Times New Roman"/>
          <w:i/>
          <w:sz w:val="24"/>
          <w:szCs w:val="24"/>
        </w:rPr>
        <w:t>.</w:t>
      </w:r>
      <w:r w:rsidR="001430B0">
        <w:rPr>
          <w:rFonts w:ascii="Times New Roman" w:hAnsi="Times New Roman" w:cs="Times New Roman"/>
          <w:sz w:val="24"/>
          <w:szCs w:val="24"/>
        </w:rPr>
        <w:t xml:space="preserve"> agreed</w:t>
      </w:r>
      <w:r w:rsidR="00A63F95">
        <w:rPr>
          <w:rFonts w:ascii="Times New Roman" w:hAnsi="Times New Roman" w:cs="Times New Roman"/>
          <w:sz w:val="24"/>
          <w:szCs w:val="24"/>
        </w:rPr>
        <w:t>, writing, “</w:t>
      </w:r>
      <w:r w:rsidR="00A63F95" w:rsidRPr="00A63F95">
        <w:rPr>
          <w:rFonts w:ascii="Times New Roman" w:eastAsia="Times New Roman" w:hAnsi="Times New Roman" w:cs="Times New Roman"/>
          <w:sz w:val="24"/>
          <w:szCs w:val="24"/>
        </w:rPr>
        <w:t>Written work-for-hire agreement may validly be executed after copyrighted work is created.</w:t>
      </w:r>
      <w:r w:rsidR="008E489E">
        <w:rPr>
          <w:rFonts w:ascii="Times New Roman" w:eastAsia="Times New Roman" w:hAnsi="Times New Roman" w:cs="Times New Roman"/>
          <w:sz w:val="24"/>
          <w:szCs w:val="24"/>
        </w:rPr>
        <w:t>”</w:t>
      </w:r>
      <w:r w:rsidR="00A63F95" w:rsidRPr="00A63F95">
        <w:rPr>
          <w:rFonts w:ascii="Times New Roman" w:eastAsia="Times New Roman" w:hAnsi="Times New Roman" w:cs="Times New Roman"/>
          <w:sz w:val="24"/>
          <w:szCs w:val="24"/>
        </w:rPr>
        <w:t xml:space="preserve"> </w:t>
      </w:r>
      <w:bookmarkStart w:id="42" w:name="CITRUS_BOOKMARK52"/>
      <w:r w:rsidR="00A63F95" w:rsidRPr="00551F7A">
        <w:rPr>
          <w:rFonts w:ascii="Times New Roman" w:eastAsia="Times New Roman" w:hAnsi="Times New Roman" w:cs="Times New Roman"/>
          <w:i/>
          <w:sz w:val="24"/>
          <w:szCs w:val="24"/>
        </w:rPr>
        <w:t xml:space="preserve">Compaq Computer Corp. v. </w:t>
      </w:r>
      <w:proofErr w:type="spellStart"/>
      <w:r w:rsidR="00A63F95" w:rsidRPr="00551F7A">
        <w:rPr>
          <w:rFonts w:ascii="Times New Roman" w:eastAsia="Times New Roman" w:hAnsi="Times New Roman" w:cs="Times New Roman"/>
          <w:i/>
          <w:sz w:val="24"/>
          <w:szCs w:val="24"/>
        </w:rPr>
        <w:t>Ergonome</w:t>
      </w:r>
      <w:proofErr w:type="spellEnd"/>
      <w:r w:rsidR="00A63F95" w:rsidRPr="00551F7A">
        <w:rPr>
          <w:rFonts w:ascii="Times New Roman" w:eastAsia="Times New Roman" w:hAnsi="Times New Roman" w:cs="Times New Roman"/>
          <w:i/>
          <w:sz w:val="24"/>
          <w:szCs w:val="24"/>
        </w:rPr>
        <w:t xml:space="preserve"> Inc.</w:t>
      </w:r>
      <w:r w:rsidR="00A63F95" w:rsidRPr="00551F7A">
        <w:rPr>
          <w:rFonts w:ascii="Times New Roman" w:eastAsia="Times New Roman" w:hAnsi="Times New Roman" w:cs="Times New Roman"/>
          <w:sz w:val="24"/>
          <w:szCs w:val="24"/>
        </w:rPr>
        <w:t>, 210 F. Supp. 2d 839 (S.D. Tex. 2001)</w:t>
      </w:r>
      <w:bookmarkEnd w:id="42"/>
      <w:r w:rsidR="00ED56F7">
        <w:rPr>
          <w:rFonts w:ascii="Times New Roman" w:eastAsia="Times New Roman" w:hAnsi="Times New Roman" w:cs="Times New Roman"/>
          <w:sz w:val="24"/>
          <w:szCs w:val="24"/>
        </w:rPr>
        <w:t xml:space="preserve"> </w:t>
      </w:r>
    </w:p>
    <w:p w14:paraId="75577F03" w14:textId="77777777" w:rsidR="005B1F74" w:rsidRPr="000578F2" w:rsidRDefault="007E1440" w:rsidP="005B1F74">
      <w:pPr>
        <w:spacing w:after="240" w:line="480" w:lineRule="auto"/>
        <w:ind w:firstLine="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Ninth Circuit Court </w:t>
      </w:r>
      <w:r w:rsidR="00C04C3A">
        <w:rPr>
          <w:rFonts w:ascii="Times New Roman" w:eastAsia="Times New Roman" w:hAnsi="Times New Roman" w:cs="Times New Roman"/>
          <w:sz w:val="24"/>
          <w:szCs w:val="24"/>
        </w:rPr>
        <w:t>held in</w:t>
      </w:r>
      <w:r w:rsidRPr="007E1440">
        <w:rPr>
          <w:rFonts w:ascii="Times New Roman" w:hAnsi="Times New Roman" w:cs="Times New Roman"/>
          <w:i/>
          <w:sz w:val="24"/>
          <w:szCs w:val="24"/>
        </w:rPr>
        <w:t xml:space="preserve"> </w:t>
      </w:r>
      <w:proofErr w:type="spellStart"/>
      <w:r w:rsidRPr="00915FC3">
        <w:rPr>
          <w:rFonts w:ascii="Times New Roman" w:hAnsi="Times New Roman" w:cs="Times New Roman"/>
          <w:i/>
          <w:sz w:val="24"/>
          <w:szCs w:val="24"/>
        </w:rPr>
        <w:t>Gladwell</w:t>
      </w:r>
      <w:proofErr w:type="spellEnd"/>
      <w:r w:rsidRPr="00915FC3">
        <w:rPr>
          <w:rFonts w:ascii="Times New Roman" w:hAnsi="Times New Roman" w:cs="Times New Roman"/>
          <w:i/>
          <w:sz w:val="24"/>
          <w:szCs w:val="24"/>
        </w:rPr>
        <w:t xml:space="preserve"> Government Services, Inc. v. County of Marin </w:t>
      </w:r>
      <w:r w:rsidR="00C04C3A" w:rsidRPr="007E1440">
        <w:rPr>
          <w:rFonts w:ascii="Times New Roman" w:eastAsia="Times New Roman" w:hAnsi="Times New Roman" w:cs="Times New Roman"/>
          <w:sz w:val="24"/>
          <w:szCs w:val="24"/>
        </w:rPr>
        <w:t>that the statute does not require the writing to be executed before the work’</w:t>
      </w:r>
      <w:r w:rsidRPr="007E1440">
        <w:rPr>
          <w:rFonts w:ascii="Times New Roman" w:eastAsia="Times New Roman" w:hAnsi="Times New Roman" w:cs="Times New Roman"/>
          <w:sz w:val="24"/>
          <w:szCs w:val="24"/>
        </w:rPr>
        <w:t xml:space="preserve">s creation. </w:t>
      </w:r>
      <w:bookmarkStart w:id="43" w:name="CITRUS_BOOKMARK53"/>
      <w:proofErr w:type="spellStart"/>
      <w:proofErr w:type="gramStart"/>
      <w:r w:rsidR="001B558C" w:rsidRPr="00551F7A">
        <w:rPr>
          <w:rFonts w:ascii="Times New Roman" w:hAnsi="Times New Roman" w:cs="Times New Roman"/>
          <w:i/>
          <w:sz w:val="24"/>
          <w:szCs w:val="24"/>
        </w:rPr>
        <w:t>Gladwell</w:t>
      </w:r>
      <w:proofErr w:type="spellEnd"/>
      <w:r w:rsidR="001B558C" w:rsidRPr="00551F7A">
        <w:rPr>
          <w:rFonts w:ascii="Times New Roman" w:hAnsi="Times New Roman" w:cs="Times New Roman"/>
          <w:i/>
          <w:sz w:val="24"/>
          <w:szCs w:val="24"/>
        </w:rPr>
        <w:t xml:space="preserve"> Gov't </w:t>
      </w:r>
      <w:proofErr w:type="spellStart"/>
      <w:r w:rsidR="001B558C" w:rsidRPr="00551F7A">
        <w:rPr>
          <w:rFonts w:ascii="Times New Roman" w:hAnsi="Times New Roman" w:cs="Times New Roman"/>
          <w:i/>
          <w:sz w:val="24"/>
          <w:szCs w:val="24"/>
        </w:rPr>
        <w:t>Servs</w:t>
      </w:r>
      <w:proofErr w:type="spellEnd"/>
      <w:r w:rsidR="001B558C" w:rsidRPr="00551F7A">
        <w:rPr>
          <w:rFonts w:ascii="Times New Roman" w:hAnsi="Times New Roman" w:cs="Times New Roman"/>
          <w:i/>
          <w:sz w:val="24"/>
          <w:szCs w:val="24"/>
        </w:rPr>
        <w:t>.</w:t>
      </w:r>
      <w:proofErr w:type="gramEnd"/>
      <w:r w:rsidR="001B558C" w:rsidRPr="00551F7A">
        <w:rPr>
          <w:rFonts w:ascii="Times New Roman" w:hAnsi="Times New Roman" w:cs="Times New Roman"/>
          <w:i/>
          <w:sz w:val="24"/>
          <w:szCs w:val="24"/>
        </w:rPr>
        <w:t xml:space="preserve"> v. County of Marin</w:t>
      </w:r>
      <w:r w:rsidR="001B558C" w:rsidRPr="00551F7A">
        <w:rPr>
          <w:rFonts w:ascii="Times New Roman" w:hAnsi="Times New Roman" w:cs="Times New Roman"/>
          <w:sz w:val="24"/>
          <w:szCs w:val="24"/>
        </w:rPr>
        <w:t xml:space="preserve">, 265 F. </w:t>
      </w:r>
      <w:proofErr w:type="spellStart"/>
      <w:r w:rsidR="001B558C" w:rsidRPr="00551F7A">
        <w:rPr>
          <w:rFonts w:ascii="Times New Roman" w:hAnsi="Times New Roman" w:cs="Times New Roman"/>
          <w:sz w:val="24"/>
          <w:szCs w:val="24"/>
        </w:rPr>
        <w:t>App'x</w:t>
      </w:r>
      <w:proofErr w:type="spellEnd"/>
      <w:r w:rsidR="001B558C" w:rsidRPr="00551F7A">
        <w:rPr>
          <w:rFonts w:ascii="Times New Roman" w:hAnsi="Times New Roman" w:cs="Times New Roman"/>
          <w:sz w:val="24"/>
          <w:szCs w:val="24"/>
        </w:rPr>
        <w:t xml:space="preserve"> 624, 626 (9th Cir. 2008)</w:t>
      </w:r>
      <w:bookmarkEnd w:id="43"/>
      <w:r w:rsidRPr="007E1440">
        <w:rPr>
          <w:rFonts w:ascii="Times New Roman" w:eastAsia="Times New Roman" w:hAnsi="Times New Roman" w:cs="Times New Roman"/>
          <w:sz w:val="24"/>
          <w:szCs w:val="24"/>
        </w:rPr>
        <w:t xml:space="preserve"> </w:t>
      </w:r>
      <w:r w:rsidR="008E2AE7" w:rsidRPr="007E1440">
        <w:rPr>
          <w:rFonts w:ascii="Times New Roman" w:hAnsi="Times New Roman" w:cs="Times New Roman"/>
          <w:sz w:val="24"/>
          <w:szCs w:val="24"/>
        </w:rPr>
        <w:t xml:space="preserve">A New York District Court in </w:t>
      </w:r>
      <w:proofErr w:type="spellStart"/>
      <w:r w:rsidR="008E2AE7" w:rsidRPr="007E1440">
        <w:rPr>
          <w:rFonts w:ascii="Times New Roman" w:hAnsi="Times New Roman" w:cs="Times New Roman"/>
          <w:i/>
          <w:sz w:val="24"/>
          <w:szCs w:val="24"/>
        </w:rPr>
        <w:t>Zyware</w:t>
      </w:r>
      <w:proofErr w:type="spellEnd"/>
      <w:r w:rsidR="008E2AE7" w:rsidRPr="007E1440">
        <w:rPr>
          <w:rFonts w:ascii="Times New Roman" w:hAnsi="Times New Roman" w:cs="Times New Roman"/>
          <w:i/>
          <w:sz w:val="24"/>
          <w:szCs w:val="24"/>
        </w:rPr>
        <w:t xml:space="preserve">, Inc. v. </w:t>
      </w:r>
      <w:proofErr w:type="spellStart"/>
      <w:r w:rsidR="008E2AE7" w:rsidRPr="007E1440">
        <w:rPr>
          <w:rFonts w:ascii="Times New Roman" w:hAnsi="Times New Roman" w:cs="Times New Roman"/>
          <w:i/>
          <w:sz w:val="24"/>
          <w:szCs w:val="24"/>
        </w:rPr>
        <w:t>Middlegate</w:t>
      </w:r>
      <w:proofErr w:type="spellEnd"/>
      <w:r w:rsidR="008E2AE7" w:rsidRPr="007E1440">
        <w:rPr>
          <w:rFonts w:ascii="Times New Roman" w:hAnsi="Times New Roman" w:cs="Times New Roman"/>
          <w:i/>
          <w:sz w:val="24"/>
          <w:szCs w:val="24"/>
        </w:rPr>
        <w:t>, Inc.</w:t>
      </w:r>
      <w:r w:rsidR="008E2AE7" w:rsidRPr="007E1440">
        <w:rPr>
          <w:rFonts w:ascii="Times New Roman" w:hAnsi="Times New Roman" w:cs="Times New Roman"/>
          <w:sz w:val="24"/>
          <w:szCs w:val="24"/>
        </w:rPr>
        <w:t xml:space="preserve"> held similarly</w:t>
      </w:r>
      <w:r w:rsidR="00A63F95" w:rsidRPr="007E1440">
        <w:rPr>
          <w:rFonts w:ascii="Times New Roman" w:hAnsi="Times New Roman" w:cs="Times New Roman"/>
          <w:sz w:val="24"/>
          <w:szCs w:val="24"/>
        </w:rPr>
        <w:t xml:space="preserve"> stating th</w:t>
      </w:r>
      <w:r w:rsidR="00973194">
        <w:rPr>
          <w:rFonts w:ascii="Times New Roman" w:hAnsi="Times New Roman" w:cs="Times New Roman"/>
          <w:sz w:val="24"/>
          <w:szCs w:val="24"/>
        </w:rPr>
        <w:t>at</w:t>
      </w:r>
      <w:r w:rsidR="00A63F95" w:rsidRPr="007E1440">
        <w:rPr>
          <w:rFonts w:ascii="Times New Roman" w:hAnsi="Times New Roman" w:cs="Times New Roman"/>
          <w:sz w:val="24"/>
          <w:szCs w:val="24"/>
        </w:rPr>
        <w:t xml:space="preserve"> the written agreement itself</w:t>
      </w:r>
      <w:r w:rsidR="00A63F95">
        <w:rPr>
          <w:rFonts w:ascii="Times New Roman" w:hAnsi="Times New Roman" w:cs="Times New Roman"/>
          <w:sz w:val="24"/>
          <w:szCs w:val="24"/>
        </w:rPr>
        <w:t xml:space="preserve"> need not have been signed before the work. </w:t>
      </w:r>
      <w:bookmarkStart w:id="44" w:name="CITRUS_BOOKMARK78"/>
      <w:proofErr w:type="spellStart"/>
      <w:r w:rsidR="00924111" w:rsidRPr="00551F7A">
        <w:rPr>
          <w:rFonts w:ascii="Times New Roman" w:eastAsia="Times New Roman" w:hAnsi="Times New Roman" w:cs="Times New Roman"/>
          <w:i/>
          <w:sz w:val="24"/>
          <w:szCs w:val="24"/>
        </w:rPr>
        <w:t>Zyware</w:t>
      </w:r>
      <w:proofErr w:type="spellEnd"/>
      <w:r w:rsidR="00924111" w:rsidRPr="00551F7A">
        <w:rPr>
          <w:rFonts w:ascii="Times New Roman" w:eastAsia="Times New Roman" w:hAnsi="Times New Roman" w:cs="Times New Roman"/>
          <w:i/>
          <w:sz w:val="24"/>
          <w:szCs w:val="24"/>
        </w:rPr>
        <w:t xml:space="preserve">, Inc. v. </w:t>
      </w:r>
      <w:proofErr w:type="spellStart"/>
      <w:r w:rsidR="00924111" w:rsidRPr="00551F7A">
        <w:rPr>
          <w:rFonts w:ascii="Times New Roman" w:eastAsia="Times New Roman" w:hAnsi="Times New Roman" w:cs="Times New Roman"/>
          <w:i/>
          <w:sz w:val="24"/>
          <w:szCs w:val="24"/>
        </w:rPr>
        <w:t>Middlegate</w:t>
      </w:r>
      <w:proofErr w:type="spellEnd"/>
      <w:r w:rsidR="00924111" w:rsidRPr="00551F7A">
        <w:rPr>
          <w:rFonts w:ascii="Times New Roman" w:eastAsia="Times New Roman" w:hAnsi="Times New Roman" w:cs="Times New Roman"/>
          <w:i/>
          <w:sz w:val="24"/>
          <w:szCs w:val="24"/>
        </w:rPr>
        <w:t>, Inc., 96 CIV. 2348</w:t>
      </w:r>
      <w:r w:rsidR="00924111" w:rsidRPr="00551F7A">
        <w:rPr>
          <w:rFonts w:ascii="Times New Roman" w:eastAsia="Times New Roman" w:hAnsi="Times New Roman" w:cs="Times New Roman"/>
          <w:sz w:val="24"/>
          <w:szCs w:val="24"/>
        </w:rPr>
        <w:t xml:space="preserve"> (</w:t>
      </w:r>
      <w:r w:rsidR="00924111" w:rsidRPr="00551F7A">
        <w:rPr>
          <w:rFonts w:ascii="Times New Roman" w:eastAsia="Times New Roman" w:hAnsi="Times New Roman" w:cs="Times New Roman"/>
          <w:i/>
          <w:sz w:val="24"/>
          <w:szCs w:val="24"/>
        </w:rPr>
        <w:t>SHS</w:t>
      </w:r>
      <w:r w:rsidR="00924111" w:rsidRPr="00551F7A">
        <w:rPr>
          <w:rFonts w:ascii="Times New Roman" w:eastAsia="Times New Roman" w:hAnsi="Times New Roman" w:cs="Times New Roman"/>
          <w:sz w:val="24"/>
          <w:szCs w:val="24"/>
        </w:rPr>
        <w:t>), 1997 WL 685336 (S.D.N.Y. Nov. 4, 1997)</w:t>
      </w:r>
      <w:bookmarkEnd w:id="44"/>
      <w:r w:rsidR="00924111">
        <w:rPr>
          <w:rFonts w:ascii="Times New Roman" w:eastAsia="Times New Roman" w:hAnsi="Times New Roman" w:cs="Times New Roman"/>
          <w:sz w:val="24"/>
          <w:szCs w:val="24"/>
        </w:rPr>
        <w:t xml:space="preserve"> </w:t>
      </w:r>
      <w:r w:rsidR="00A63F95">
        <w:rPr>
          <w:rFonts w:ascii="Times New Roman" w:hAnsi="Times New Roman" w:cs="Times New Roman"/>
          <w:sz w:val="24"/>
          <w:szCs w:val="24"/>
        </w:rPr>
        <w:t>However, the</w:t>
      </w:r>
      <w:r w:rsidR="00A63F95" w:rsidRPr="00ED56F7">
        <w:rPr>
          <w:rFonts w:ascii="Times New Roman" w:hAnsi="Times New Roman" w:cs="Times New Roman"/>
          <w:i/>
          <w:sz w:val="24"/>
          <w:szCs w:val="24"/>
        </w:rPr>
        <w:t xml:space="preserve"> </w:t>
      </w:r>
      <w:proofErr w:type="spellStart"/>
      <w:r w:rsidR="00A63F95" w:rsidRPr="00ED56F7">
        <w:rPr>
          <w:rFonts w:ascii="Times New Roman" w:hAnsi="Times New Roman" w:cs="Times New Roman"/>
          <w:i/>
          <w:sz w:val="24"/>
          <w:szCs w:val="24"/>
        </w:rPr>
        <w:t>Zyware</w:t>
      </w:r>
      <w:proofErr w:type="spellEnd"/>
      <w:r w:rsidR="00A63F95" w:rsidRPr="00ED56F7">
        <w:rPr>
          <w:rFonts w:ascii="Times New Roman" w:hAnsi="Times New Roman" w:cs="Times New Roman"/>
          <w:i/>
          <w:sz w:val="24"/>
          <w:szCs w:val="24"/>
        </w:rPr>
        <w:t xml:space="preserve"> </w:t>
      </w:r>
      <w:r w:rsidR="00A63F95">
        <w:rPr>
          <w:rFonts w:ascii="Times New Roman" w:hAnsi="Times New Roman" w:cs="Times New Roman"/>
          <w:sz w:val="24"/>
          <w:szCs w:val="24"/>
        </w:rPr>
        <w:t>court held that there must be evidence</w:t>
      </w:r>
      <w:r w:rsidR="008E2AE7">
        <w:rPr>
          <w:rFonts w:ascii="Times New Roman" w:hAnsi="Times New Roman" w:cs="Times New Roman"/>
          <w:sz w:val="24"/>
          <w:szCs w:val="24"/>
        </w:rPr>
        <w:t xml:space="preserve"> introduced at trial proving that there as an implicit or explicit </w:t>
      </w:r>
      <w:r w:rsidR="008E2AE7" w:rsidRPr="000578F2">
        <w:rPr>
          <w:rFonts w:ascii="Times New Roman" w:hAnsi="Times New Roman" w:cs="Times New Roman"/>
          <w:sz w:val="24"/>
          <w:szCs w:val="24"/>
        </w:rPr>
        <w:t>agreement between the partie</w:t>
      </w:r>
      <w:r w:rsidR="00A63F95" w:rsidRPr="000578F2">
        <w:rPr>
          <w:rFonts w:ascii="Times New Roman" w:hAnsi="Times New Roman" w:cs="Times New Roman"/>
          <w:sz w:val="24"/>
          <w:szCs w:val="24"/>
        </w:rPr>
        <w:t>s prior to creation of the work</w:t>
      </w:r>
      <w:r w:rsidR="008E2AE7" w:rsidRPr="000578F2">
        <w:rPr>
          <w:rFonts w:ascii="Times New Roman" w:hAnsi="Times New Roman" w:cs="Times New Roman"/>
          <w:sz w:val="24"/>
          <w:szCs w:val="24"/>
        </w:rPr>
        <w:t xml:space="preserve">.  </w:t>
      </w:r>
      <w:r w:rsidR="00924111" w:rsidRPr="000578F2">
        <w:rPr>
          <w:rFonts w:ascii="Times New Roman" w:hAnsi="Times New Roman" w:cs="Times New Roman"/>
          <w:sz w:val="24"/>
          <w:szCs w:val="24"/>
        </w:rPr>
        <w:t>(</w:t>
      </w:r>
      <w:bookmarkStart w:id="45" w:name="CITRUS_BOOKMARK56"/>
      <w:r w:rsidR="00924111" w:rsidRPr="000578F2">
        <w:rPr>
          <w:rFonts w:ascii="Times New Roman" w:eastAsia="Times New Roman" w:hAnsi="Times New Roman" w:cs="Times New Roman"/>
          <w:i/>
          <w:sz w:val="24"/>
          <w:szCs w:val="24"/>
        </w:rPr>
        <w:t>Id.</w:t>
      </w:r>
      <w:bookmarkEnd w:id="45"/>
      <w:r w:rsidR="00924111" w:rsidRPr="000578F2">
        <w:rPr>
          <w:rFonts w:ascii="Times New Roman" w:eastAsia="Times New Roman" w:hAnsi="Times New Roman" w:cs="Times New Roman"/>
          <w:i/>
          <w:sz w:val="24"/>
          <w:szCs w:val="24"/>
        </w:rPr>
        <w:t>)</w:t>
      </w:r>
      <w:r w:rsidR="00007915" w:rsidRPr="000578F2">
        <w:rPr>
          <w:rFonts w:ascii="Times New Roman" w:eastAsia="Times New Roman" w:hAnsi="Times New Roman" w:cs="Times New Roman"/>
          <w:sz w:val="24"/>
          <w:szCs w:val="24"/>
        </w:rPr>
        <w:t xml:space="preserve"> </w:t>
      </w:r>
    </w:p>
    <w:p w14:paraId="38B07E51" w14:textId="77777777" w:rsidR="002B7261" w:rsidRPr="000578F2" w:rsidRDefault="00622460" w:rsidP="00050A14">
      <w:pPr>
        <w:spacing w:line="480" w:lineRule="auto"/>
        <w:ind w:firstLine="720"/>
        <w:contextualSpacing/>
        <w:rPr>
          <w:rFonts w:ascii="Times New Roman" w:eastAsia="Times New Roman" w:hAnsi="Times New Roman" w:cs="Times New Roman"/>
          <w:sz w:val="24"/>
          <w:szCs w:val="24"/>
        </w:rPr>
      </w:pPr>
      <w:r w:rsidRPr="000578F2">
        <w:rPr>
          <w:rFonts w:ascii="Times New Roman" w:eastAsia="Times New Roman" w:hAnsi="Times New Roman" w:cs="Times New Roman"/>
          <w:sz w:val="24"/>
          <w:szCs w:val="24"/>
        </w:rPr>
        <w:t xml:space="preserve">This case differs from </w:t>
      </w:r>
      <w:r w:rsidRPr="000578F2">
        <w:rPr>
          <w:rFonts w:ascii="Times New Roman" w:eastAsia="Times New Roman" w:hAnsi="Times New Roman" w:cs="Times New Roman"/>
          <w:i/>
          <w:sz w:val="24"/>
          <w:szCs w:val="24"/>
        </w:rPr>
        <w:t>Schiller</w:t>
      </w:r>
      <w:r w:rsidR="000600DA" w:rsidRPr="000578F2">
        <w:rPr>
          <w:rFonts w:ascii="Times New Roman" w:eastAsia="Times New Roman" w:hAnsi="Times New Roman" w:cs="Times New Roman"/>
          <w:i/>
          <w:sz w:val="24"/>
          <w:szCs w:val="24"/>
        </w:rPr>
        <w:t xml:space="preserve"> &amp; Schmidt</w:t>
      </w:r>
      <w:r w:rsidRPr="000578F2">
        <w:rPr>
          <w:rFonts w:ascii="Times New Roman" w:eastAsia="Times New Roman" w:hAnsi="Times New Roman" w:cs="Times New Roman"/>
          <w:sz w:val="24"/>
          <w:szCs w:val="24"/>
        </w:rPr>
        <w:t xml:space="preserve"> in substantive ways</w:t>
      </w:r>
      <w:r w:rsidR="000600DA" w:rsidRPr="000578F2">
        <w:rPr>
          <w:rFonts w:ascii="Times New Roman" w:eastAsia="Times New Roman" w:hAnsi="Times New Roman" w:cs="Times New Roman"/>
          <w:sz w:val="24"/>
          <w:szCs w:val="24"/>
        </w:rPr>
        <w:t xml:space="preserve"> and </w:t>
      </w:r>
      <w:r w:rsidR="00F66E28" w:rsidRPr="000578F2">
        <w:rPr>
          <w:rFonts w:ascii="Times New Roman" w:eastAsia="Times New Roman" w:hAnsi="Times New Roman" w:cs="Times New Roman"/>
          <w:sz w:val="24"/>
          <w:szCs w:val="24"/>
        </w:rPr>
        <w:t xml:space="preserve">the holding in </w:t>
      </w:r>
      <w:r w:rsidR="00F66E28" w:rsidRPr="000578F2">
        <w:rPr>
          <w:rFonts w:ascii="Times New Roman" w:eastAsia="Times New Roman" w:hAnsi="Times New Roman" w:cs="Times New Roman"/>
          <w:i/>
          <w:sz w:val="24"/>
          <w:szCs w:val="24"/>
        </w:rPr>
        <w:t xml:space="preserve">Schiller &amp; Schmidt </w:t>
      </w:r>
      <w:r w:rsidR="00F66E28" w:rsidRPr="000578F2">
        <w:rPr>
          <w:rFonts w:ascii="Times New Roman" w:eastAsia="Times New Roman" w:hAnsi="Times New Roman" w:cs="Times New Roman"/>
          <w:sz w:val="24"/>
          <w:szCs w:val="24"/>
        </w:rPr>
        <w:t xml:space="preserve">is </w:t>
      </w:r>
      <w:r w:rsidR="004240D1" w:rsidRPr="000578F2">
        <w:rPr>
          <w:rFonts w:ascii="Times New Roman" w:eastAsia="Times New Roman" w:hAnsi="Times New Roman" w:cs="Times New Roman"/>
          <w:sz w:val="24"/>
          <w:szCs w:val="24"/>
        </w:rPr>
        <w:t xml:space="preserve">not applicable to the facts in these </w:t>
      </w:r>
      <w:r w:rsidR="000600DA" w:rsidRPr="000578F2">
        <w:rPr>
          <w:rFonts w:ascii="Times New Roman" w:eastAsia="Times New Roman" w:hAnsi="Times New Roman" w:cs="Times New Roman"/>
          <w:sz w:val="24"/>
          <w:szCs w:val="24"/>
        </w:rPr>
        <w:t>proceedings</w:t>
      </w:r>
      <w:r w:rsidRPr="000578F2">
        <w:rPr>
          <w:rFonts w:ascii="Times New Roman" w:eastAsia="Times New Roman" w:hAnsi="Times New Roman" w:cs="Times New Roman"/>
          <w:sz w:val="24"/>
          <w:szCs w:val="24"/>
        </w:rPr>
        <w:t xml:space="preserve">. </w:t>
      </w:r>
      <w:r w:rsidR="000578F2" w:rsidRPr="000578F2">
        <w:rPr>
          <w:rFonts w:ascii="Times New Roman" w:hAnsi="Times New Roman" w:cs="Times New Roman"/>
          <w:sz w:val="24"/>
          <w:szCs w:val="24"/>
        </w:rPr>
        <w:t>(</w:t>
      </w:r>
      <w:r w:rsidR="000578F2" w:rsidRPr="000578F2">
        <w:rPr>
          <w:rFonts w:ascii="Times New Roman" w:hAnsi="Times New Roman" w:cs="Times New Roman"/>
          <w:i/>
          <w:sz w:val="24"/>
          <w:szCs w:val="24"/>
        </w:rPr>
        <w:t>Id.</w:t>
      </w:r>
      <w:r w:rsidR="000578F2" w:rsidRPr="000578F2">
        <w:rPr>
          <w:rFonts w:ascii="Times New Roman" w:hAnsi="Times New Roman" w:cs="Times New Roman"/>
          <w:sz w:val="24"/>
          <w:szCs w:val="24"/>
        </w:rPr>
        <w:t xml:space="preserve">) </w:t>
      </w:r>
      <w:r w:rsidRPr="000578F2">
        <w:rPr>
          <w:rFonts w:ascii="Times New Roman" w:eastAsia="Times New Roman" w:hAnsi="Times New Roman" w:cs="Times New Roman"/>
          <w:i/>
          <w:sz w:val="24"/>
          <w:szCs w:val="24"/>
        </w:rPr>
        <w:t>Schiller &amp; Schmidt</w:t>
      </w:r>
      <w:r w:rsidRPr="000578F2">
        <w:rPr>
          <w:rFonts w:ascii="Times New Roman" w:eastAsia="Times New Roman" w:hAnsi="Times New Roman" w:cs="Times New Roman"/>
          <w:sz w:val="24"/>
          <w:szCs w:val="24"/>
        </w:rPr>
        <w:t xml:space="preserve"> was a dispute over copyright in 18 photographs taken before 1983. </w:t>
      </w:r>
      <w:r w:rsidR="000578F2" w:rsidRPr="000578F2">
        <w:rPr>
          <w:rFonts w:ascii="Times New Roman" w:hAnsi="Times New Roman" w:cs="Times New Roman"/>
          <w:sz w:val="24"/>
          <w:szCs w:val="24"/>
        </w:rPr>
        <w:t>(</w:t>
      </w:r>
      <w:r w:rsidR="000578F2" w:rsidRPr="000578F2">
        <w:rPr>
          <w:rFonts w:ascii="Times New Roman" w:hAnsi="Times New Roman" w:cs="Times New Roman"/>
          <w:i/>
          <w:sz w:val="24"/>
          <w:szCs w:val="24"/>
        </w:rPr>
        <w:t>Id.</w:t>
      </w:r>
      <w:r w:rsidR="000578F2" w:rsidRPr="000578F2">
        <w:rPr>
          <w:rFonts w:ascii="Times New Roman" w:hAnsi="Times New Roman" w:cs="Times New Roman"/>
          <w:sz w:val="24"/>
          <w:szCs w:val="24"/>
        </w:rPr>
        <w:t xml:space="preserve">) </w:t>
      </w:r>
      <w:r w:rsidRPr="000578F2">
        <w:rPr>
          <w:rFonts w:ascii="Times New Roman" w:eastAsia="Times New Roman" w:hAnsi="Times New Roman" w:cs="Times New Roman"/>
          <w:sz w:val="24"/>
          <w:szCs w:val="24"/>
        </w:rPr>
        <w:t>The photographer had been commissioned by</w:t>
      </w:r>
      <w:r w:rsidR="00642836" w:rsidRPr="000578F2">
        <w:rPr>
          <w:rFonts w:ascii="Times New Roman" w:eastAsia="Times New Roman" w:hAnsi="Times New Roman" w:cs="Times New Roman"/>
          <w:sz w:val="24"/>
          <w:szCs w:val="24"/>
        </w:rPr>
        <w:t xml:space="preserve"> the business </w:t>
      </w:r>
      <w:r w:rsidRPr="000578F2">
        <w:rPr>
          <w:rFonts w:ascii="Times New Roman" w:eastAsia="Times New Roman" w:hAnsi="Times New Roman" w:cs="Times New Roman"/>
          <w:sz w:val="24"/>
          <w:szCs w:val="24"/>
        </w:rPr>
        <w:t xml:space="preserve">Schiller &amp; Schmidt to procure photographs for a catalogue. </w:t>
      </w:r>
      <w:r w:rsidR="000578F2" w:rsidRPr="000578F2">
        <w:rPr>
          <w:rFonts w:ascii="Times New Roman" w:hAnsi="Times New Roman" w:cs="Times New Roman"/>
          <w:sz w:val="24"/>
          <w:szCs w:val="24"/>
        </w:rPr>
        <w:t>(</w:t>
      </w:r>
      <w:r w:rsidR="000578F2" w:rsidRPr="000578F2">
        <w:rPr>
          <w:rFonts w:ascii="Times New Roman" w:hAnsi="Times New Roman" w:cs="Times New Roman"/>
          <w:i/>
          <w:sz w:val="24"/>
          <w:szCs w:val="24"/>
        </w:rPr>
        <w:t>Id.</w:t>
      </w:r>
      <w:r w:rsidR="000578F2" w:rsidRPr="000578F2">
        <w:rPr>
          <w:rFonts w:ascii="Times New Roman" w:hAnsi="Times New Roman" w:cs="Times New Roman"/>
          <w:sz w:val="24"/>
          <w:szCs w:val="24"/>
        </w:rPr>
        <w:t xml:space="preserve">) </w:t>
      </w:r>
      <w:r w:rsidRPr="000578F2">
        <w:rPr>
          <w:rFonts w:ascii="Times New Roman" w:eastAsia="Times New Roman" w:hAnsi="Times New Roman" w:cs="Times New Roman"/>
          <w:sz w:val="24"/>
          <w:szCs w:val="24"/>
        </w:rPr>
        <w:t xml:space="preserve">However, the photographer’s work was stolen by a former employee of Schiller &amp; Schmidt and provided to a competitor. </w:t>
      </w:r>
      <w:r w:rsidR="000578F2" w:rsidRPr="000578F2">
        <w:rPr>
          <w:rFonts w:ascii="Times New Roman" w:hAnsi="Times New Roman" w:cs="Times New Roman"/>
          <w:sz w:val="24"/>
          <w:szCs w:val="24"/>
        </w:rPr>
        <w:t>(</w:t>
      </w:r>
      <w:r w:rsidR="000578F2" w:rsidRPr="000578F2">
        <w:rPr>
          <w:rFonts w:ascii="Times New Roman" w:hAnsi="Times New Roman" w:cs="Times New Roman"/>
          <w:i/>
          <w:sz w:val="24"/>
          <w:szCs w:val="24"/>
        </w:rPr>
        <w:t>Id.</w:t>
      </w:r>
      <w:r w:rsidR="000578F2" w:rsidRPr="000578F2">
        <w:rPr>
          <w:rFonts w:ascii="Times New Roman" w:hAnsi="Times New Roman" w:cs="Times New Roman"/>
          <w:sz w:val="24"/>
          <w:szCs w:val="24"/>
        </w:rPr>
        <w:t xml:space="preserve">) </w:t>
      </w:r>
      <w:r w:rsidRPr="000578F2">
        <w:rPr>
          <w:rFonts w:ascii="Times New Roman" w:eastAsia="Times New Roman" w:hAnsi="Times New Roman" w:cs="Times New Roman"/>
          <w:sz w:val="24"/>
          <w:szCs w:val="24"/>
        </w:rPr>
        <w:t xml:space="preserve">During copyright infringement litigation, Schiller &amp; Schmidt acquired a written agreement from the photographer providing that he </w:t>
      </w:r>
      <w:r w:rsidRPr="000578F2">
        <w:rPr>
          <w:rFonts w:ascii="Times New Roman" w:hAnsi="Times New Roman" w:cs="Times New Roman"/>
          <w:sz w:val="24"/>
          <w:szCs w:val="24"/>
        </w:rPr>
        <w:t xml:space="preserve">“agreed that Schiller and Schmidt has owned the copyright” in the photos. </w:t>
      </w:r>
      <w:r w:rsidR="000578F2" w:rsidRPr="000578F2">
        <w:rPr>
          <w:rFonts w:ascii="Times New Roman" w:hAnsi="Times New Roman" w:cs="Times New Roman"/>
          <w:sz w:val="24"/>
          <w:szCs w:val="24"/>
        </w:rPr>
        <w:t>(</w:t>
      </w:r>
      <w:r w:rsidR="000578F2" w:rsidRPr="000578F2">
        <w:rPr>
          <w:rFonts w:ascii="Times New Roman" w:hAnsi="Times New Roman" w:cs="Times New Roman"/>
          <w:i/>
          <w:sz w:val="24"/>
          <w:szCs w:val="24"/>
        </w:rPr>
        <w:t>Id.</w:t>
      </w:r>
      <w:r w:rsidR="000578F2" w:rsidRPr="000578F2">
        <w:rPr>
          <w:rFonts w:ascii="Times New Roman" w:hAnsi="Times New Roman" w:cs="Times New Roman"/>
          <w:sz w:val="24"/>
          <w:szCs w:val="24"/>
        </w:rPr>
        <w:t xml:space="preserve">) </w:t>
      </w:r>
      <w:r w:rsidRPr="000578F2">
        <w:rPr>
          <w:rFonts w:ascii="Times New Roman" w:hAnsi="Times New Roman" w:cs="Times New Roman"/>
          <w:sz w:val="24"/>
          <w:szCs w:val="24"/>
        </w:rPr>
        <w:t xml:space="preserve"> This written agreement was not signed by </w:t>
      </w:r>
      <w:r w:rsidRPr="000578F2">
        <w:rPr>
          <w:rFonts w:ascii="Times New Roman" w:hAnsi="Times New Roman" w:cs="Times New Roman"/>
          <w:sz w:val="24"/>
          <w:szCs w:val="24"/>
        </w:rPr>
        <w:lastRenderedPageBreak/>
        <w:t xml:space="preserve">Schiller &amp; Schmidt and did not explicitly outline that the works were to be considered works for hire. </w:t>
      </w:r>
      <w:r w:rsidR="000578F2" w:rsidRPr="000578F2">
        <w:rPr>
          <w:rFonts w:ascii="Times New Roman" w:hAnsi="Times New Roman" w:cs="Times New Roman"/>
          <w:sz w:val="24"/>
          <w:szCs w:val="24"/>
        </w:rPr>
        <w:t>(</w:t>
      </w:r>
      <w:r w:rsidR="000578F2" w:rsidRPr="000578F2">
        <w:rPr>
          <w:rFonts w:ascii="Times New Roman" w:hAnsi="Times New Roman" w:cs="Times New Roman"/>
          <w:i/>
          <w:sz w:val="24"/>
          <w:szCs w:val="24"/>
        </w:rPr>
        <w:t>Id.</w:t>
      </w:r>
      <w:r w:rsidR="000578F2" w:rsidRPr="000578F2">
        <w:rPr>
          <w:rFonts w:ascii="Times New Roman" w:hAnsi="Times New Roman" w:cs="Times New Roman"/>
          <w:sz w:val="24"/>
          <w:szCs w:val="24"/>
        </w:rPr>
        <w:t xml:space="preserve">) </w:t>
      </w:r>
      <w:r w:rsidRPr="000578F2">
        <w:rPr>
          <w:rFonts w:ascii="Times New Roman" w:hAnsi="Times New Roman" w:cs="Times New Roman"/>
          <w:sz w:val="24"/>
          <w:szCs w:val="24"/>
        </w:rPr>
        <w:t xml:space="preserve">Further, the written agreement was obtained more than five years subsequent to when the photographs were taken. </w:t>
      </w:r>
      <w:r w:rsidR="000578F2" w:rsidRPr="000578F2">
        <w:rPr>
          <w:rFonts w:ascii="Times New Roman" w:hAnsi="Times New Roman" w:cs="Times New Roman"/>
          <w:sz w:val="24"/>
          <w:szCs w:val="24"/>
        </w:rPr>
        <w:t>(</w:t>
      </w:r>
      <w:r w:rsidR="000578F2" w:rsidRPr="000578F2">
        <w:rPr>
          <w:rFonts w:ascii="Times New Roman" w:hAnsi="Times New Roman" w:cs="Times New Roman"/>
          <w:i/>
          <w:sz w:val="24"/>
          <w:szCs w:val="24"/>
        </w:rPr>
        <w:t>Id.</w:t>
      </w:r>
      <w:r w:rsidR="000578F2" w:rsidRPr="000578F2">
        <w:rPr>
          <w:rFonts w:ascii="Times New Roman" w:hAnsi="Times New Roman" w:cs="Times New Roman"/>
          <w:sz w:val="24"/>
          <w:szCs w:val="24"/>
        </w:rPr>
        <w:t xml:space="preserve">) </w:t>
      </w:r>
      <w:r w:rsidR="00050A14" w:rsidRPr="000578F2">
        <w:rPr>
          <w:rFonts w:ascii="Times New Roman" w:hAnsi="Times New Roman" w:cs="Times New Roman"/>
          <w:sz w:val="24"/>
          <w:szCs w:val="24"/>
        </w:rPr>
        <w:t xml:space="preserve">In the present case, </w:t>
      </w:r>
      <w:proofErr w:type="gramStart"/>
      <w:r w:rsidR="00050A14" w:rsidRPr="000578F2">
        <w:rPr>
          <w:rFonts w:ascii="Times New Roman" w:hAnsi="Times New Roman" w:cs="Times New Roman"/>
          <w:sz w:val="24"/>
          <w:szCs w:val="24"/>
        </w:rPr>
        <w:t>the written agreement was signed by OGS and Defendant</w:t>
      </w:r>
      <w:proofErr w:type="gramEnd"/>
      <w:r w:rsidR="00050A14" w:rsidRPr="000578F2">
        <w:rPr>
          <w:rFonts w:ascii="Times New Roman" w:hAnsi="Times New Roman" w:cs="Times New Roman"/>
          <w:sz w:val="24"/>
          <w:szCs w:val="24"/>
        </w:rPr>
        <w:t>. The writte</w:t>
      </w:r>
      <w:r w:rsidR="000578F2">
        <w:rPr>
          <w:rFonts w:ascii="Times New Roman" w:hAnsi="Times New Roman" w:cs="Times New Roman"/>
          <w:sz w:val="24"/>
          <w:szCs w:val="24"/>
        </w:rPr>
        <w:t xml:space="preserve">n agreement explicitly stated, </w:t>
      </w:r>
      <w:r w:rsidR="00050A14" w:rsidRPr="000578F2">
        <w:rPr>
          <w:rFonts w:ascii="Times New Roman" w:hAnsi="Times New Roman" w:cs="Times New Roman"/>
          <w:sz w:val="24"/>
          <w:szCs w:val="24"/>
        </w:rPr>
        <w:t xml:space="preserve">“the screenplay, ‘Anticipatory Repudiation,’ as a work made for hire under the federal Copyright Act of 1976.” Further, </w:t>
      </w:r>
      <w:proofErr w:type="gramStart"/>
      <w:r w:rsidR="00050A14" w:rsidRPr="000578F2">
        <w:rPr>
          <w:rFonts w:ascii="Times New Roman" w:hAnsi="Times New Roman" w:cs="Times New Roman"/>
          <w:sz w:val="24"/>
          <w:szCs w:val="24"/>
        </w:rPr>
        <w:t>this agreement was signed by both parties a mere five days after the screenplay was submitted</w:t>
      </w:r>
      <w:proofErr w:type="gramEnd"/>
      <w:r w:rsidR="00050A14" w:rsidRPr="000578F2">
        <w:rPr>
          <w:rFonts w:ascii="Times New Roman" w:hAnsi="Times New Roman" w:cs="Times New Roman"/>
          <w:sz w:val="24"/>
          <w:szCs w:val="24"/>
        </w:rPr>
        <w:t>. Therefore, the holding in Schiller is not applicable to this specific case as the facts in Schiller greatly differ from the facts here.</w:t>
      </w:r>
    </w:p>
    <w:p w14:paraId="65EAB660" w14:textId="77777777" w:rsidR="00C4488E" w:rsidRDefault="00C4488E" w:rsidP="00C4488E">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court in </w:t>
      </w:r>
      <w:proofErr w:type="spellStart"/>
      <w:r w:rsidRPr="00C406AF">
        <w:rPr>
          <w:rFonts w:ascii="Times New Roman" w:hAnsi="Times New Roman" w:cs="Times New Roman"/>
          <w:i/>
          <w:sz w:val="24"/>
          <w:szCs w:val="24"/>
        </w:rPr>
        <w:t>Zyware</w:t>
      </w:r>
      <w:proofErr w:type="spellEnd"/>
      <w:r w:rsidRPr="00C406AF">
        <w:rPr>
          <w:rFonts w:ascii="Times New Roman" w:hAnsi="Times New Roman" w:cs="Times New Roman"/>
          <w:i/>
          <w:sz w:val="24"/>
          <w:szCs w:val="24"/>
        </w:rPr>
        <w:t xml:space="preserve">, Inc. v. </w:t>
      </w:r>
      <w:proofErr w:type="spellStart"/>
      <w:r w:rsidRPr="00C406AF">
        <w:rPr>
          <w:rFonts w:ascii="Times New Roman" w:hAnsi="Times New Roman" w:cs="Times New Roman"/>
          <w:i/>
          <w:sz w:val="24"/>
          <w:szCs w:val="24"/>
        </w:rPr>
        <w:t>Middlegate</w:t>
      </w:r>
      <w:proofErr w:type="spellEnd"/>
      <w:r w:rsidRPr="00C406AF">
        <w:rPr>
          <w:rFonts w:ascii="Times New Roman" w:hAnsi="Times New Roman" w:cs="Times New Roman"/>
          <w:i/>
          <w:sz w:val="24"/>
          <w:szCs w:val="24"/>
        </w:rPr>
        <w:t>, Inc.</w:t>
      </w:r>
      <w:r>
        <w:rPr>
          <w:rFonts w:ascii="Times New Roman" w:hAnsi="Times New Roman" w:cs="Times New Roman"/>
          <w:sz w:val="24"/>
          <w:szCs w:val="24"/>
        </w:rPr>
        <w:t xml:space="preserve"> held, as shown above, that while a written agreement was required, it did not have to be signed before the work so long as there was an implicit or explicit agreement between the parties prior to creation of the </w:t>
      </w:r>
      <w:r w:rsidRPr="009F79F8">
        <w:rPr>
          <w:rFonts w:ascii="Times New Roman" w:hAnsi="Times New Roman" w:cs="Times New Roman"/>
          <w:sz w:val="24"/>
          <w:szCs w:val="24"/>
        </w:rPr>
        <w:t xml:space="preserve">work. </w:t>
      </w:r>
      <w:r w:rsidR="009F79F8" w:rsidRPr="009F79F8">
        <w:rPr>
          <w:rFonts w:ascii="Times New Roman" w:hAnsi="Times New Roman" w:cs="Times New Roman"/>
          <w:sz w:val="24"/>
          <w:szCs w:val="24"/>
        </w:rPr>
        <w:t>(</w:t>
      </w:r>
      <w:r w:rsidR="009F79F8" w:rsidRPr="009F79F8">
        <w:rPr>
          <w:rFonts w:ascii="Times New Roman" w:hAnsi="Times New Roman" w:cs="Times New Roman"/>
          <w:i/>
          <w:sz w:val="24"/>
          <w:szCs w:val="24"/>
        </w:rPr>
        <w:t>Id.</w:t>
      </w:r>
      <w:r w:rsidR="009F79F8" w:rsidRPr="009F79F8">
        <w:rPr>
          <w:rFonts w:ascii="Times New Roman" w:hAnsi="Times New Roman" w:cs="Times New Roman"/>
          <w:sz w:val="24"/>
          <w:szCs w:val="24"/>
        </w:rPr>
        <w:t xml:space="preserve">) </w:t>
      </w:r>
      <w:r w:rsidRPr="009F79F8">
        <w:rPr>
          <w:rFonts w:ascii="Times New Roman" w:hAnsi="Times New Roman" w:cs="Times New Roman"/>
          <w:sz w:val="24"/>
          <w:szCs w:val="24"/>
        </w:rPr>
        <w:t xml:space="preserve"> This</w:t>
      </w:r>
      <w:r>
        <w:rPr>
          <w:rFonts w:ascii="Times New Roman" w:hAnsi="Times New Roman" w:cs="Times New Roman"/>
          <w:sz w:val="24"/>
          <w:szCs w:val="24"/>
        </w:rPr>
        <w:t xml:space="preserve"> is consistent with the fundamental purpose of copyright law that there is certainty as to ownership of the intellectual property. As applied to the facts of this case, there was an explicit oral arrangement that OGS made with Defendant Lime prior to creation of the work. This arrangement was made by Nelson, </w:t>
      </w:r>
      <w:r w:rsidRPr="005D60DC">
        <w:rPr>
          <w:rFonts w:ascii="Times New Roman" w:hAnsi="Times New Roman" w:cs="Times New Roman"/>
          <w:sz w:val="24"/>
          <w:szCs w:val="24"/>
        </w:rPr>
        <w:t xml:space="preserve">Nelson told </w:t>
      </w:r>
      <w:r>
        <w:rPr>
          <w:rFonts w:ascii="Times New Roman" w:hAnsi="Times New Roman" w:cs="Times New Roman"/>
          <w:sz w:val="24"/>
          <w:szCs w:val="24"/>
        </w:rPr>
        <w:t>Defendant</w:t>
      </w:r>
      <w:r w:rsidRPr="005D60DC">
        <w:rPr>
          <w:rFonts w:ascii="Times New Roman" w:hAnsi="Times New Roman" w:cs="Times New Roman"/>
          <w:sz w:val="24"/>
          <w:szCs w:val="24"/>
        </w:rPr>
        <w:t xml:space="preserve"> that, “Your work on the screenplay is for hire. For all intents and purposes, we’ll be the </w:t>
      </w:r>
      <w:proofErr w:type="gramStart"/>
      <w:r w:rsidRPr="005D60DC">
        <w:rPr>
          <w:rFonts w:ascii="Times New Roman" w:hAnsi="Times New Roman" w:cs="Times New Roman"/>
          <w:sz w:val="24"/>
          <w:szCs w:val="24"/>
        </w:rPr>
        <w:t>author</w:t>
      </w:r>
      <w:proofErr w:type="gramEnd"/>
      <w:r w:rsidRPr="005D60DC">
        <w:rPr>
          <w:rFonts w:ascii="Times New Roman" w:hAnsi="Times New Roman" w:cs="Times New Roman"/>
          <w:sz w:val="24"/>
          <w:szCs w:val="24"/>
        </w:rPr>
        <w:t xml:space="preserve">.” </w:t>
      </w:r>
      <w:r w:rsidRPr="006C52AB">
        <w:rPr>
          <w:rFonts w:ascii="Times New Roman" w:hAnsi="Times New Roman" w:cs="Times New Roman"/>
          <w:sz w:val="24"/>
          <w:szCs w:val="24"/>
        </w:rPr>
        <w:t>(</w:t>
      </w:r>
      <w:bookmarkStart w:id="46" w:name="CITRUS_BOOKMARK57"/>
      <w:r w:rsidRPr="00551F7A">
        <w:rPr>
          <w:rFonts w:ascii="Times New Roman" w:hAnsi="Times New Roman" w:cs="Times New Roman"/>
          <w:i/>
          <w:sz w:val="24"/>
          <w:szCs w:val="24"/>
        </w:rPr>
        <w:t>Id</w:t>
      </w:r>
      <w:proofErr w:type="gramStart"/>
      <w:r w:rsidRPr="00551F7A">
        <w:rPr>
          <w:rFonts w:ascii="Times New Roman" w:hAnsi="Times New Roman" w:cs="Times New Roman"/>
          <w:i/>
          <w:sz w:val="24"/>
          <w:szCs w:val="24"/>
        </w:rPr>
        <w:t>.</w:t>
      </w:r>
      <w:bookmarkEnd w:id="46"/>
      <w:r w:rsidRPr="001B558C">
        <w:rPr>
          <w:rFonts w:ascii="Times New Roman" w:hAnsi="Times New Roman" w:cs="Times New Roman"/>
          <w:sz w:val="24"/>
          <w:szCs w:val="24"/>
        </w:rPr>
        <w:t xml:space="preserve"> </w:t>
      </w:r>
      <w:r w:rsidRPr="006C52AB">
        <w:rPr>
          <w:rFonts w:ascii="Times New Roman" w:hAnsi="Times New Roman" w:cs="Times New Roman"/>
          <w:sz w:val="24"/>
          <w:szCs w:val="24"/>
        </w:rPr>
        <w:t>)</w:t>
      </w:r>
      <w:proofErr w:type="gramEnd"/>
      <w:r w:rsidRPr="006C52AB">
        <w:rPr>
          <w:rFonts w:ascii="Times New Roman" w:hAnsi="Times New Roman" w:cs="Times New Roman"/>
          <w:sz w:val="24"/>
          <w:szCs w:val="24"/>
        </w:rPr>
        <w:t xml:space="preserve"> </w:t>
      </w:r>
      <w:r w:rsidRPr="005D60DC">
        <w:rPr>
          <w:rFonts w:ascii="Times New Roman" w:hAnsi="Times New Roman" w:cs="Times New Roman"/>
          <w:sz w:val="24"/>
          <w:szCs w:val="24"/>
        </w:rPr>
        <w:t xml:space="preserve">Nelson then asked </w:t>
      </w:r>
      <w:r>
        <w:rPr>
          <w:rFonts w:ascii="Times New Roman" w:hAnsi="Times New Roman" w:cs="Times New Roman"/>
          <w:sz w:val="24"/>
          <w:szCs w:val="24"/>
        </w:rPr>
        <w:t>Defendant</w:t>
      </w:r>
      <w:r w:rsidRPr="005D60DC">
        <w:rPr>
          <w:rFonts w:ascii="Times New Roman" w:hAnsi="Times New Roman" w:cs="Times New Roman"/>
          <w:sz w:val="24"/>
          <w:szCs w:val="24"/>
        </w:rPr>
        <w:t xml:space="preserve">, “Do you understand, and is that OK with you?” </w:t>
      </w:r>
      <w:r w:rsidRPr="006C52AB">
        <w:rPr>
          <w:rFonts w:ascii="Times New Roman" w:hAnsi="Times New Roman" w:cs="Times New Roman"/>
          <w:sz w:val="24"/>
          <w:szCs w:val="24"/>
        </w:rPr>
        <w:t>(</w:t>
      </w:r>
      <w:bookmarkStart w:id="47" w:name="CITRUS_BOOKMARK58"/>
      <w:r w:rsidRPr="00551F7A">
        <w:rPr>
          <w:rFonts w:ascii="Times New Roman" w:hAnsi="Times New Roman" w:cs="Times New Roman"/>
          <w:i/>
          <w:sz w:val="24"/>
          <w:szCs w:val="24"/>
        </w:rPr>
        <w:t>Id</w:t>
      </w:r>
      <w:proofErr w:type="gramStart"/>
      <w:r w:rsidRPr="00551F7A">
        <w:rPr>
          <w:rFonts w:ascii="Times New Roman" w:hAnsi="Times New Roman" w:cs="Times New Roman"/>
          <w:i/>
          <w:sz w:val="24"/>
          <w:szCs w:val="24"/>
        </w:rPr>
        <w:t>.</w:t>
      </w:r>
      <w:bookmarkEnd w:id="47"/>
      <w:r w:rsidRPr="001B558C">
        <w:rPr>
          <w:rFonts w:ascii="Times New Roman" w:hAnsi="Times New Roman" w:cs="Times New Roman"/>
          <w:sz w:val="24"/>
          <w:szCs w:val="24"/>
        </w:rPr>
        <w:t xml:space="preserve"> </w:t>
      </w:r>
      <w:r w:rsidRPr="006C52AB">
        <w:rPr>
          <w:rFonts w:ascii="Times New Roman" w:hAnsi="Times New Roman" w:cs="Times New Roman"/>
          <w:sz w:val="24"/>
          <w:szCs w:val="24"/>
        </w:rPr>
        <w:t>)</w:t>
      </w:r>
      <w:proofErr w:type="gramEnd"/>
      <w:r w:rsidRPr="006C52AB">
        <w:rPr>
          <w:rFonts w:ascii="Times New Roman" w:hAnsi="Times New Roman" w:cs="Times New Roman"/>
          <w:sz w:val="24"/>
          <w:szCs w:val="24"/>
        </w:rPr>
        <w:t xml:space="preserve"> </w:t>
      </w:r>
      <w:r w:rsidRPr="005D60DC">
        <w:rPr>
          <w:rFonts w:ascii="Times New Roman" w:hAnsi="Times New Roman" w:cs="Times New Roman"/>
          <w:sz w:val="24"/>
          <w:szCs w:val="24"/>
        </w:rPr>
        <w:t xml:space="preserve">In response to Nelson’s questions, </w:t>
      </w:r>
      <w:r>
        <w:rPr>
          <w:rFonts w:ascii="Times New Roman" w:hAnsi="Times New Roman" w:cs="Times New Roman"/>
          <w:sz w:val="24"/>
          <w:szCs w:val="24"/>
        </w:rPr>
        <w:t>Defendant</w:t>
      </w:r>
      <w:r w:rsidRPr="005D60DC">
        <w:rPr>
          <w:rFonts w:ascii="Times New Roman" w:hAnsi="Times New Roman" w:cs="Times New Roman"/>
          <w:sz w:val="24"/>
          <w:szCs w:val="24"/>
        </w:rPr>
        <w:t xml:space="preserve"> said, “Yes.” </w:t>
      </w:r>
      <w:r w:rsidRPr="00012613">
        <w:rPr>
          <w:rFonts w:ascii="Times New Roman" w:hAnsi="Times New Roman" w:cs="Times New Roman"/>
          <w:sz w:val="24"/>
          <w:szCs w:val="24"/>
        </w:rPr>
        <w:t>(</w:t>
      </w:r>
      <w:bookmarkStart w:id="48" w:name="CITRUS_BOOKMARK59"/>
      <w:r w:rsidRPr="00551F7A">
        <w:rPr>
          <w:rFonts w:ascii="Times New Roman" w:hAnsi="Times New Roman" w:cs="Times New Roman"/>
          <w:i/>
          <w:sz w:val="24"/>
          <w:szCs w:val="24"/>
        </w:rPr>
        <w:t>Id</w:t>
      </w:r>
      <w:proofErr w:type="gramStart"/>
      <w:r w:rsidRPr="00551F7A">
        <w:rPr>
          <w:rFonts w:ascii="Times New Roman" w:hAnsi="Times New Roman" w:cs="Times New Roman"/>
          <w:i/>
          <w:sz w:val="24"/>
          <w:szCs w:val="24"/>
        </w:rPr>
        <w:t>.</w:t>
      </w:r>
      <w:bookmarkEnd w:id="48"/>
      <w:r w:rsidRPr="001B558C">
        <w:rPr>
          <w:rFonts w:ascii="Times New Roman" w:hAnsi="Times New Roman" w:cs="Times New Roman"/>
          <w:sz w:val="24"/>
          <w:szCs w:val="24"/>
        </w:rPr>
        <w:t xml:space="preserve"> </w:t>
      </w:r>
      <w:r w:rsidRPr="006C52AB">
        <w:rPr>
          <w:rFonts w:ascii="Times New Roman" w:hAnsi="Times New Roman" w:cs="Times New Roman"/>
          <w:sz w:val="24"/>
          <w:szCs w:val="24"/>
        </w:rPr>
        <w:t>)</w:t>
      </w:r>
      <w:proofErr w:type="gramEnd"/>
      <w:r w:rsidRPr="006C52AB">
        <w:rPr>
          <w:rFonts w:ascii="Times New Roman" w:hAnsi="Times New Roman" w:cs="Times New Roman"/>
          <w:sz w:val="24"/>
          <w:szCs w:val="24"/>
        </w:rPr>
        <w:t xml:space="preserve"> </w:t>
      </w:r>
      <w:r w:rsidRPr="005D60DC">
        <w:rPr>
          <w:rFonts w:ascii="Times New Roman" w:hAnsi="Times New Roman" w:cs="Times New Roman"/>
          <w:sz w:val="24"/>
          <w:szCs w:val="24"/>
        </w:rPr>
        <w:t>Nelson said that he wanted</w:t>
      </w:r>
      <w:r w:rsidRPr="000363B1">
        <w:rPr>
          <w:rFonts w:ascii="Times New Roman" w:hAnsi="Times New Roman" w:cs="Times New Roman"/>
          <w:sz w:val="24"/>
          <w:szCs w:val="24"/>
        </w:rPr>
        <w:t xml:space="preserve"> </w:t>
      </w:r>
      <w:r>
        <w:rPr>
          <w:rFonts w:ascii="Times New Roman" w:hAnsi="Times New Roman" w:cs="Times New Roman"/>
          <w:sz w:val="24"/>
          <w:szCs w:val="24"/>
        </w:rPr>
        <w:t>Defendant</w:t>
      </w:r>
      <w:r w:rsidRPr="005D60DC">
        <w:rPr>
          <w:rFonts w:ascii="Times New Roman" w:hAnsi="Times New Roman" w:cs="Times New Roman"/>
          <w:sz w:val="24"/>
          <w:szCs w:val="24"/>
        </w:rPr>
        <w:t xml:space="preserve"> to get to work right away, and that she could return to sign the paperwork later. </w:t>
      </w:r>
      <w:r>
        <w:rPr>
          <w:rFonts w:ascii="Times New Roman" w:hAnsi="Times New Roman" w:cs="Times New Roman"/>
          <w:sz w:val="24"/>
          <w:szCs w:val="24"/>
        </w:rPr>
        <w:t>(</w:t>
      </w:r>
      <w:proofErr w:type="spellStart"/>
      <w:r>
        <w:rPr>
          <w:rFonts w:ascii="Times New Roman" w:hAnsi="Times New Roman" w:cs="Times New Roman"/>
          <w:sz w:val="24"/>
          <w:szCs w:val="24"/>
        </w:rPr>
        <w:t>Compl</w:t>
      </w:r>
      <w:proofErr w:type="spellEnd"/>
      <w:r>
        <w:rPr>
          <w:rFonts w:ascii="Times New Roman" w:hAnsi="Times New Roman" w:cs="Times New Roman"/>
          <w:sz w:val="24"/>
          <w:szCs w:val="24"/>
        </w:rPr>
        <w:t>. ¶3</w:t>
      </w:r>
      <w:r w:rsidRPr="00012613">
        <w:rPr>
          <w:rFonts w:ascii="Times New Roman" w:hAnsi="Times New Roman" w:cs="Times New Roman"/>
          <w:sz w:val="24"/>
          <w:szCs w:val="24"/>
        </w:rPr>
        <w:t>.)</w:t>
      </w:r>
    </w:p>
    <w:p w14:paraId="78636F9E" w14:textId="77777777" w:rsidR="00034795" w:rsidRDefault="009211A5" w:rsidP="00050A14">
      <w:pPr>
        <w:spacing w:after="0" w:line="480" w:lineRule="auto"/>
        <w:ind w:firstLine="720"/>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As it relates to </w:t>
      </w:r>
      <w:proofErr w:type="spellStart"/>
      <w:r w:rsidRPr="009211A5">
        <w:rPr>
          <w:rFonts w:ascii="Times New Roman" w:eastAsia="Times New Roman" w:hAnsi="Times New Roman" w:cs="Times New Roman"/>
          <w:i/>
          <w:sz w:val="24"/>
          <w:szCs w:val="24"/>
        </w:rPr>
        <w:t>Gladwell</w:t>
      </w:r>
      <w:proofErr w:type="spellEnd"/>
      <w:r>
        <w:rPr>
          <w:rFonts w:ascii="Times New Roman" w:eastAsia="Times New Roman" w:hAnsi="Times New Roman" w:cs="Times New Roman"/>
          <w:sz w:val="24"/>
          <w:szCs w:val="24"/>
        </w:rPr>
        <w:t>, t</w:t>
      </w:r>
      <w:r w:rsidR="00050A14" w:rsidRPr="00050A14">
        <w:rPr>
          <w:rFonts w:ascii="Times New Roman" w:eastAsia="Times New Roman" w:hAnsi="Times New Roman" w:cs="Times New Roman"/>
          <w:sz w:val="24"/>
          <w:szCs w:val="24"/>
        </w:rPr>
        <w:t xml:space="preserve">here is a legal presumption that when </w:t>
      </w:r>
      <w:proofErr w:type="gramStart"/>
      <w:r w:rsidR="00050A14" w:rsidRPr="00050A14">
        <w:rPr>
          <w:rFonts w:ascii="Times New Roman" w:eastAsia="Times New Roman" w:hAnsi="Times New Roman" w:cs="Times New Roman"/>
          <w:sz w:val="24"/>
          <w:szCs w:val="24"/>
        </w:rPr>
        <w:t>a work is commissioned by another party</w:t>
      </w:r>
      <w:proofErr w:type="gramEnd"/>
      <w:r w:rsidR="00050A14" w:rsidRPr="00050A14">
        <w:rPr>
          <w:rFonts w:ascii="Times New Roman" w:eastAsia="Times New Roman" w:hAnsi="Times New Roman" w:cs="Times New Roman"/>
          <w:sz w:val="24"/>
          <w:szCs w:val="24"/>
        </w:rPr>
        <w:t>, that work is a work-for-hire.</w:t>
      </w:r>
      <w:r w:rsidR="00050A14">
        <w:rPr>
          <w:rFonts w:ascii="Times New Roman" w:eastAsia="Times New Roman" w:hAnsi="Times New Roman" w:cs="Times New Roman"/>
          <w:b/>
          <w:sz w:val="24"/>
          <w:szCs w:val="24"/>
        </w:rPr>
        <w:t xml:space="preserve"> </w:t>
      </w:r>
      <w:r w:rsidR="00050A14" w:rsidRPr="00915FC3">
        <w:rPr>
          <w:rFonts w:ascii="Times New Roman" w:hAnsi="Times New Roman" w:cs="Times New Roman"/>
          <w:sz w:val="24"/>
          <w:szCs w:val="24"/>
        </w:rPr>
        <w:t xml:space="preserve">The court in </w:t>
      </w:r>
      <w:proofErr w:type="spellStart"/>
      <w:r w:rsidR="00050A14" w:rsidRPr="00915FC3">
        <w:rPr>
          <w:rFonts w:ascii="Times New Roman" w:hAnsi="Times New Roman" w:cs="Times New Roman"/>
          <w:i/>
          <w:sz w:val="24"/>
          <w:szCs w:val="24"/>
        </w:rPr>
        <w:t>Gladwell</w:t>
      </w:r>
      <w:proofErr w:type="spellEnd"/>
      <w:r w:rsidR="00050A14" w:rsidRPr="00915FC3">
        <w:rPr>
          <w:rFonts w:ascii="Times New Roman" w:hAnsi="Times New Roman" w:cs="Times New Roman"/>
          <w:i/>
          <w:sz w:val="24"/>
          <w:szCs w:val="24"/>
        </w:rPr>
        <w:t xml:space="preserve"> </w:t>
      </w:r>
      <w:r w:rsidR="00050A14" w:rsidRPr="00915FC3">
        <w:rPr>
          <w:rFonts w:ascii="Times New Roman" w:hAnsi="Times New Roman" w:cs="Times New Roman"/>
          <w:sz w:val="24"/>
          <w:szCs w:val="24"/>
        </w:rPr>
        <w:t xml:space="preserve">held, in interpreting a prior version of the Copyright Act that lacked a specific provision dealing with work for hire, that where a work is commissioned </w:t>
      </w:r>
      <w:r w:rsidR="00050A14">
        <w:rPr>
          <w:rFonts w:ascii="Times New Roman" w:hAnsi="Times New Roman" w:cs="Times New Roman"/>
          <w:sz w:val="24"/>
          <w:szCs w:val="24"/>
        </w:rPr>
        <w:t>by</w:t>
      </w:r>
      <w:r w:rsidR="00050A14" w:rsidRPr="00915FC3">
        <w:rPr>
          <w:rFonts w:ascii="Times New Roman" w:hAnsi="Times New Roman" w:cs="Times New Roman"/>
          <w:sz w:val="24"/>
          <w:szCs w:val="24"/>
        </w:rPr>
        <w:t xml:space="preserve"> another party, a legal presumption arises that it is a work for </w:t>
      </w:r>
      <w:r w:rsidR="00050A14" w:rsidRPr="00915FC3">
        <w:rPr>
          <w:rFonts w:ascii="Times New Roman" w:hAnsi="Times New Roman" w:cs="Times New Roman"/>
          <w:sz w:val="24"/>
          <w:szCs w:val="24"/>
        </w:rPr>
        <w:lastRenderedPageBreak/>
        <w:t xml:space="preserve">hire and that “the copyright lies </w:t>
      </w:r>
      <w:proofErr w:type="spellStart"/>
      <w:r w:rsidR="00050A14" w:rsidRPr="00915FC3">
        <w:rPr>
          <w:rStyle w:val="Emphasis"/>
          <w:rFonts w:ascii="Times New Roman" w:hAnsi="Times New Roman" w:cs="Times New Roman"/>
          <w:sz w:val="24"/>
          <w:szCs w:val="24"/>
        </w:rPr>
        <w:t>ab</w:t>
      </w:r>
      <w:proofErr w:type="spellEnd"/>
      <w:r w:rsidR="00050A14" w:rsidRPr="00915FC3">
        <w:rPr>
          <w:rStyle w:val="Emphasis"/>
          <w:rFonts w:ascii="Times New Roman" w:hAnsi="Times New Roman" w:cs="Times New Roman"/>
          <w:sz w:val="24"/>
          <w:szCs w:val="24"/>
        </w:rPr>
        <w:t xml:space="preserve"> initio</w:t>
      </w:r>
      <w:r w:rsidR="00050A14" w:rsidRPr="00915FC3">
        <w:rPr>
          <w:rFonts w:ascii="Times New Roman" w:hAnsi="Times New Roman" w:cs="Times New Roman"/>
          <w:sz w:val="24"/>
          <w:szCs w:val="24"/>
        </w:rPr>
        <w:t xml:space="preserve"> with the commissioning party. The work for hire presumption can be overcome by evidence of an agreement by which the employee or independent contractor retained the copyright in his work.” </w:t>
      </w:r>
      <w:bookmarkStart w:id="49" w:name="CITRUS_BOOKMARK60"/>
      <w:r w:rsidR="00050A14" w:rsidRPr="00551F7A">
        <w:rPr>
          <w:rFonts w:ascii="Times New Roman" w:hAnsi="Times New Roman" w:cs="Times New Roman"/>
          <w:i/>
          <w:iCs/>
          <w:sz w:val="24"/>
          <w:szCs w:val="24"/>
        </w:rPr>
        <w:t xml:space="preserve">Twentieth Century Fox Film Corp. v. </w:t>
      </w:r>
      <w:proofErr w:type="spellStart"/>
      <w:r w:rsidR="00050A14" w:rsidRPr="00551F7A">
        <w:rPr>
          <w:rFonts w:ascii="Times New Roman" w:hAnsi="Times New Roman" w:cs="Times New Roman"/>
          <w:i/>
          <w:iCs/>
          <w:sz w:val="24"/>
          <w:szCs w:val="24"/>
        </w:rPr>
        <w:t>Entm't</w:t>
      </w:r>
      <w:proofErr w:type="spellEnd"/>
      <w:r w:rsidR="00050A14" w:rsidRPr="00551F7A">
        <w:rPr>
          <w:rFonts w:ascii="Times New Roman" w:hAnsi="Times New Roman" w:cs="Times New Roman"/>
          <w:i/>
          <w:iCs/>
          <w:sz w:val="24"/>
          <w:szCs w:val="24"/>
        </w:rPr>
        <w:t xml:space="preserve"> </w:t>
      </w:r>
      <w:proofErr w:type="spellStart"/>
      <w:r w:rsidR="00050A14" w:rsidRPr="00551F7A">
        <w:rPr>
          <w:rFonts w:ascii="Times New Roman" w:hAnsi="Times New Roman" w:cs="Times New Roman"/>
          <w:i/>
          <w:iCs/>
          <w:sz w:val="24"/>
          <w:szCs w:val="24"/>
        </w:rPr>
        <w:t>Distrib</w:t>
      </w:r>
      <w:proofErr w:type="spellEnd"/>
      <w:proofErr w:type="gramStart"/>
      <w:r w:rsidR="00050A14" w:rsidRPr="00551F7A">
        <w:rPr>
          <w:rFonts w:ascii="Times New Roman" w:hAnsi="Times New Roman" w:cs="Times New Roman"/>
          <w:i/>
          <w:iCs/>
          <w:sz w:val="24"/>
          <w:szCs w:val="24"/>
        </w:rPr>
        <w:t>.</w:t>
      </w:r>
      <w:r w:rsidR="00050A14" w:rsidRPr="00551F7A">
        <w:rPr>
          <w:rFonts w:ascii="Times New Roman" w:hAnsi="Times New Roman" w:cs="Times New Roman"/>
          <w:iCs/>
          <w:sz w:val="24"/>
          <w:szCs w:val="24"/>
        </w:rPr>
        <w:t>,</w:t>
      </w:r>
      <w:proofErr w:type="gramEnd"/>
      <w:r w:rsidR="00050A14" w:rsidRPr="00551F7A">
        <w:rPr>
          <w:rFonts w:ascii="Times New Roman" w:hAnsi="Times New Roman" w:cs="Times New Roman"/>
          <w:iCs/>
          <w:sz w:val="24"/>
          <w:szCs w:val="24"/>
        </w:rPr>
        <w:t xml:space="preserve"> 429 F.3d 869, 881 (9th Cir. 2005) (citing </w:t>
      </w:r>
      <w:r w:rsidR="00050A14" w:rsidRPr="00551F7A">
        <w:rPr>
          <w:rFonts w:ascii="Times New Roman" w:hAnsi="Times New Roman" w:cs="Times New Roman"/>
          <w:i/>
          <w:iCs/>
          <w:sz w:val="24"/>
          <w:szCs w:val="24"/>
        </w:rPr>
        <w:t>Dolman v. Agee</w:t>
      </w:r>
      <w:r w:rsidR="00050A14" w:rsidRPr="00551F7A">
        <w:rPr>
          <w:rFonts w:ascii="Times New Roman" w:hAnsi="Times New Roman" w:cs="Times New Roman"/>
          <w:iCs/>
          <w:sz w:val="24"/>
          <w:szCs w:val="24"/>
        </w:rPr>
        <w:t>, 157 F.3d 708, 712 (9th Cir. 1998))</w:t>
      </w:r>
      <w:bookmarkEnd w:id="49"/>
      <w:r w:rsidR="00050A14" w:rsidRPr="00915FC3">
        <w:rPr>
          <w:rFonts w:ascii="Times New Roman" w:hAnsi="Times New Roman" w:cs="Times New Roman"/>
          <w:sz w:val="24"/>
          <w:szCs w:val="24"/>
        </w:rPr>
        <w:t xml:space="preserve">. </w:t>
      </w:r>
      <w:r w:rsidR="00050A14">
        <w:rPr>
          <w:rFonts w:ascii="Times New Roman" w:hAnsi="Times New Roman" w:cs="Times New Roman"/>
          <w:sz w:val="24"/>
          <w:szCs w:val="24"/>
        </w:rPr>
        <w:t xml:space="preserve">In this case, </w:t>
      </w:r>
      <w:r w:rsidR="00050A14" w:rsidRPr="00915FC3">
        <w:rPr>
          <w:rFonts w:ascii="Times New Roman" w:hAnsi="Times New Roman" w:cs="Times New Roman"/>
          <w:sz w:val="24"/>
          <w:szCs w:val="24"/>
        </w:rPr>
        <w:t>Defendant Lime did not present evidence of an agreement where she was transferred the rights to the screenplay by OGS subsequent to the work-for-hire agreement.</w:t>
      </w:r>
      <w:r w:rsidR="00050A14">
        <w:rPr>
          <w:rFonts w:ascii="Times New Roman" w:hAnsi="Times New Roman" w:cs="Times New Roman"/>
          <w:sz w:val="24"/>
          <w:szCs w:val="24"/>
        </w:rPr>
        <w:t xml:space="preserve"> Therefore, the court should hold to the legal presumption that the screenplay is a work-for-hire owned by OGS.</w:t>
      </w:r>
    </w:p>
    <w:p w14:paraId="19BDEC13" w14:textId="77777777" w:rsidR="00050A14" w:rsidRDefault="00050A14" w:rsidP="00050A14">
      <w:pPr>
        <w:spacing w:after="0" w:line="480" w:lineRule="auto"/>
        <w:ind w:firstLine="720"/>
        <w:contextualSpacing/>
        <w:rPr>
          <w:rFonts w:ascii="Times New Roman" w:eastAsia="Times New Roman" w:hAnsi="Times New Roman" w:cs="Times New Roman"/>
          <w:b/>
          <w:sz w:val="24"/>
          <w:szCs w:val="24"/>
        </w:rPr>
      </w:pPr>
    </w:p>
    <w:p w14:paraId="26164921" w14:textId="77777777" w:rsidR="004D29D6" w:rsidRDefault="00050A14" w:rsidP="007A3C09">
      <w:pPr>
        <w:spacing w:after="0" w:line="480" w:lineRule="auto"/>
        <w:contextualSpacing/>
        <w:rPr>
          <w:rFonts w:ascii="Times New Roman" w:hAnsi="Times New Roman" w:cs="Times New Roman"/>
          <w:b/>
          <w:sz w:val="24"/>
          <w:szCs w:val="24"/>
        </w:rPr>
      </w:pPr>
      <w:r>
        <w:rPr>
          <w:rFonts w:ascii="Times New Roman" w:eastAsia="Times New Roman" w:hAnsi="Times New Roman" w:cs="Times New Roman"/>
          <w:b/>
          <w:sz w:val="24"/>
          <w:szCs w:val="24"/>
        </w:rPr>
        <w:t>D</w:t>
      </w:r>
      <w:r w:rsidR="008E2AE7">
        <w:rPr>
          <w:rFonts w:ascii="Times New Roman" w:eastAsia="Times New Roman" w:hAnsi="Times New Roman" w:cs="Times New Roman"/>
          <w:b/>
          <w:sz w:val="24"/>
          <w:szCs w:val="24"/>
        </w:rPr>
        <w:t xml:space="preserve">. </w:t>
      </w:r>
      <w:r w:rsidR="004D29D6">
        <w:rPr>
          <w:rFonts w:ascii="Times New Roman" w:hAnsi="Times New Roman" w:cs="Times New Roman"/>
          <w:b/>
          <w:sz w:val="24"/>
          <w:szCs w:val="24"/>
        </w:rPr>
        <w:t>Creation of a rule stipulating that the written agreement must be signed prior to the completion of the screenplay is bad public policy.</w:t>
      </w:r>
    </w:p>
    <w:p w14:paraId="4000419E" w14:textId="77777777" w:rsidR="00050A14" w:rsidRDefault="00050A14" w:rsidP="00050A14">
      <w:pPr>
        <w:spacing w:after="0" w:line="480" w:lineRule="auto"/>
        <w:ind w:firstLine="720"/>
        <w:contextualSpacing/>
        <w:rPr>
          <w:rFonts w:ascii="Times New Roman" w:hAnsi="Times New Roman" w:cs="Times New Roman"/>
          <w:b/>
          <w:sz w:val="24"/>
          <w:szCs w:val="24"/>
        </w:rPr>
      </w:pPr>
      <w:r>
        <w:rPr>
          <w:rFonts w:ascii="Times New Roman" w:eastAsia="Times New Roman" w:hAnsi="Times New Roman" w:cs="Times New Roman"/>
          <w:sz w:val="24"/>
          <w:szCs w:val="24"/>
        </w:rPr>
        <w:t xml:space="preserve">The court should follow </w:t>
      </w:r>
      <w:r w:rsidR="008E419C">
        <w:rPr>
          <w:rFonts w:ascii="Times New Roman" w:eastAsia="Times New Roman" w:hAnsi="Times New Roman" w:cs="Times New Roman"/>
          <w:sz w:val="24"/>
          <w:szCs w:val="24"/>
        </w:rPr>
        <w:t xml:space="preserve">other courts’ lead </w:t>
      </w:r>
      <w:r w:rsidRPr="0018272C">
        <w:rPr>
          <w:rFonts w:ascii="Times New Roman" w:eastAsia="Times New Roman" w:hAnsi="Times New Roman" w:cs="Times New Roman"/>
          <w:sz w:val="24"/>
          <w:szCs w:val="24"/>
        </w:rPr>
        <w:t>and allow for written agreements to be signed after the initiatio</w:t>
      </w:r>
      <w:r w:rsidR="008E419C">
        <w:rPr>
          <w:rFonts w:ascii="Times New Roman" w:eastAsia="Times New Roman" w:hAnsi="Times New Roman" w:cs="Times New Roman"/>
          <w:sz w:val="24"/>
          <w:szCs w:val="24"/>
        </w:rPr>
        <w:t xml:space="preserve">n of the work commissioned for because it would be bad public policy to require otherwise. It would be </w:t>
      </w:r>
      <w:r>
        <w:rPr>
          <w:rFonts w:ascii="Times New Roman" w:eastAsia="Times New Roman" w:hAnsi="Times New Roman" w:cs="Times New Roman"/>
          <w:sz w:val="24"/>
          <w:szCs w:val="24"/>
        </w:rPr>
        <w:t>bad public policy because of number of issues such as a lack of reliance on work-for-hire relationships, effective business practices are diminished, standard business practices reflect flexibility in timing of written agreements, and because of an overall lack of certainty that this conflict causes.</w:t>
      </w:r>
    </w:p>
    <w:p w14:paraId="64E220F0" w14:textId="77777777" w:rsidR="00FE330B" w:rsidRPr="00050A14" w:rsidRDefault="00050A14" w:rsidP="00050A14">
      <w:pPr>
        <w:spacing w:after="0" w:line="480" w:lineRule="auto"/>
        <w:ind w:firstLine="720"/>
        <w:contextualSpacing/>
        <w:rPr>
          <w:rFonts w:ascii="Times New Roman" w:hAnsi="Times New Roman" w:cs="Times New Roman"/>
          <w:b/>
          <w:sz w:val="24"/>
          <w:szCs w:val="24"/>
        </w:rPr>
      </w:pPr>
      <w:r w:rsidRPr="00050A14">
        <w:rPr>
          <w:rFonts w:ascii="Times New Roman" w:hAnsi="Times New Roman" w:cs="Times New Roman"/>
          <w:sz w:val="24"/>
          <w:szCs w:val="24"/>
        </w:rPr>
        <w:t xml:space="preserve">Firstly, </w:t>
      </w:r>
      <w:r w:rsidRPr="00050A14">
        <w:rPr>
          <w:rFonts w:ascii="Times New Roman" w:eastAsia="Times New Roman" w:hAnsi="Times New Roman" w:cs="Times New Roman"/>
          <w:sz w:val="24"/>
          <w:szCs w:val="24"/>
        </w:rPr>
        <w:t>t</w:t>
      </w:r>
      <w:r w:rsidR="00875683" w:rsidRPr="00050A14">
        <w:rPr>
          <w:rFonts w:ascii="Times New Roman" w:eastAsia="Times New Roman" w:hAnsi="Times New Roman" w:cs="Times New Roman"/>
          <w:sz w:val="24"/>
          <w:szCs w:val="24"/>
        </w:rPr>
        <w:t>elevision companies must rely upon work-for-hire relationships with screenwriters that generate commissioned works.</w:t>
      </w:r>
      <w:r w:rsidR="00875683">
        <w:rPr>
          <w:rStyle w:val="Strong"/>
        </w:rPr>
        <w:t xml:space="preserve"> </w:t>
      </w:r>
      <w:r w:rsidR="007A3C09">
        <w:rPr>
          <w:rFonts w:ascii="Times New Roman" w:eastAsia="Times New Roman" w:hAnsi="Times New Roman" w:cs="Times New Roman"/>
          <w:sz w:val="24"/>
          <w:szCs w:val="24"/>
        </w:rPr>
        <w:t xml:space="preserve">There are numerous disadvantages to requiring that the written agreement be signed prior to completion of the work. One disadvantage is </w:t>
      </w:r>
      <w:r w:rsidR="0018272C" w:rsidRPr="0018272C">
        <w:rPr>
          <w:rFonts w:ascii="Times New Roman" w:eastAsia="Times New Roman" w:hAnsi="Times New Roman" w:cs="Times New Roman"/>
          <w:sz w:val="24"/>
          <w:szCs w:val="24"/>
        </w:rPr>
        <w:t>that t</w:t>
      </w:r>
      <w:r w:rsidR="00E93BBD" w:rsidRPr="0018272C">
        <w:rPr>
          <w:rFonts w:ascii="Times New Roman" w:eastAsia="Times New Roman" w:hAnsi="Times New Roman" w:cs="Times New Roman"/>
          <w:sz w:val="24"/>
          <w:szCs w:val="24"/>
        </w:rPr>
        <w:t>elevision companies</w:t>
      </w:r>
      <w:r w:rsidR="007A3C09">
        <w:rPr>
          <w:rFonts w:ascii="Times New Roman" w:eastAsia="Times New Roman" w:hAnsi="Times New Roman" w:cs="Times New Roman"/>
          <w:sz w:val="24"/>
          <w:szCs w:val="24"/>
        </w:rPr>
        <w:t xml:space="preserve"> would be less </w:t>
      </w:r>
      <w:r w:rsidR="00153851" w:rsidRPr="0018272C">
        <w:rPr>
          <w:rFonts w:ascii="Times New Roman" w:eastAsia="Times New Roman" w:hAnsi="Times New Roman" w:cs="Times New Roman"/>
          <w:sz w:val="24"/>
          <w:szCs w:val="24"/>
        </w:rPr>
        <w:t>able to</w:t>
      </w:r>
      <w:r w:rsidR="00E93BBD" w:rsidRPr="0018272C">
        <w:rPr>
          <w:rFonts w:ascii="Times New Roman" w:eastAsia="Times New Roman" w:hAnsi="Times New Roman" w:cs="Times New Roman"/>
          <w:sz w:val="24"/>
          <w:szCs w:val="24"/>
        </w:rPr>
        <w:t xml:space="preserve"> rely upon work for hire r</w:t>
      </w:r>
      <w:r w:rsidR="0018272C">
        <w:rPr>
          <w:rFonts w:ascii="Times New Roman" w:eastAsia="Times New Roman" w:hAnsi="Times New Roman" w:cs="Times New Roman"/>
          <w:sz w:val="24"/>
          <w:szCs w:val="24"/>
        </w:rPr>
        <w:t xml:space="preserve">elationships with screenwriters. </w:t>
      </w:r>
      <w:r w:rsidR="007A3C09">
        <w:rPr>
          <w:rFonts w:ascii="Times New Roman" w:eastAsia="Times New Roman" w:hAnsi="Times New Roman" w:cs="Times New Roman"/>
          <w:sz w:val="24"/>
          <w:szCs w:val="24"/>
        </w:rPr>
        <w:t xml:space="preserve">If a television company is unaware of the rule that states that the company must create and have a signed written agreement prior to the work being completed and thusly fails to </w:t>
      </w:r>
      <w:r w:rsidR="007A3C09">
        <w:rPr>
          <w:rFonts w:ascii="Times New Roman" w:eastAsia="Times New Roman" w:hAnsi="Times New Roman" w:cs="Times New Roman"/>
          <w:sz w:val="24"/>
          <w:szCs w:val="24"/>
        </w:rPr>
        <w:lastRenderedPageBreak/>
        <w:t>do so, the company will be adversely financially affected by not adhering to this rule. Thi</w:t>
      </w:r>
      <w:r w:rsidR="00F12039">
        <w:rPr>
          <w:rFonts w:ascii="Times New Roman" w:eastAsia="Times New Roman" w:hAnsi="Times New Roman" w:cs="Times New Roman"/>
          <w:sz w:val="24"/>
          <w:szCs w:val="24"/>
        </w:rPr>
        <w:t xml:space="preserve">s will discourage companies, </w:t>
      </w:r>
      <w:r w:rsidR="007A3C09">
        <w:rPr>
          <w:rFonts w:ascii="Times New Roman" w:eastAsia="Times New Roman" w:hAnsi="Times New Roman" w:cs="Times New Roman"/>
          <w:sz w:val="24"/>
          <w:szCs w:val="24"/>
        </w:rPr>
        <w:t>particular</w:t>
      </w:r>
      <w:r w:rsidR="00F12039">
        <w:rPr>
          <w:rFonts w:ascii="Times New Roman" w:eastAsia="Times New Roman" w:hAnsi="Times New Roman" w:cs="Times New Roman"/>
          <w:sz w:val="24"/>
          <w:szCs w:val="24"/>
        </w:rPr>
        <w:t xml:space="preserve">ly smaller </w:t>
      </w:r>
      <w:r w:rsidR="007A3C09">
        <w:rPr>
          <w:rFonts w:ascii="Times New Roman" w:eastAsia="Times New Roman" w:hAnsi="Times New Roman" w:cs="Times New Roman"/>
          <w:sz w:val="24"/>
          <w:szCs w:val="24"/>
        </w:rPr>
        <w:t xml:space="preserve">companies who do not necessarily have the financial capacity to draft legal documentation, in entering into agreements for commissioned works. </w:t>
      </w:r>
    </w:p>
    <w:p w14:paraId="52168F86" w14:textId="77777777" w:rsidR="007A3C09" w:rsidRDefault="00050A14" w:rsidP="00050A14">
      <w:pPr>
        <w:spacing w:line="480" w:lineRule="auto"/>
        <w:ind w:firstLine="720"/>
        <w:contextualSpacing/>
        <w:rPr>
          <w:rFonts w:ascii="Times New Roman" w:eastAsia="Times New Roman" w:hAnsi="Times New Roman" w:cs="Times New Roman"/>
          <w:sz w:val="24"/>
          <w:szCs w:val="24"/>
        </w:rPr>
      </w:pPr>
      <w:r>
        <w:rPr>
          <w:rFonts w:ascii="Times New Roman" w:hAnsi="Times New Roman" w:cs="Times New Roman"/>
          <w:sz w:val="24"/>
          <w:szCs w:val="24"/>
        </w:rPr>
        <w:t>Another reason that making a requirement that the written agreement should be signed prior to the creation of the work is bad public policy is because e</w:t>
      </w:r>
      <w:r w:rsidR="004D29D6" w:rsidRPr="00050A14">
        <w:rPr>
          <w:rFonts w:ascii="Times New Roman" w:hAnsi="Times New Roman" w:cs="Times New Roman"/>
          <w:sz w:val="24"/>
          <w:szCs w:val="24"/>
        </w:rPr>
        <w:t>fficient and</w:t>
      </w:r>
      <w:r w:rsidR="00B15CBE" w:rsidRPr="00050A14">
        <w:rPr>
          <w:rFonts w:ascii="Times New Roman" w:hAnsi="Times New Roman" w:cs="Times New Roman"/>
          <w:sz w:val="24"/>
          <w:szCs w:val="24"/>
        </w:rPr>
        <w:t xml:space="preserve"> productive business practices </w:t>
      </w:r>
      <w:r>
        <w:rPr>
          <w:rFonts w:ascii="Times New Roman" w:hAnsi="Times New Roman" w:cs="Times New Roman"/>
          <w:sz w:val="24"/>
          <w:szCs w:val="24"/>
        </w:rPr>
        <w:t xml:space="preserve">would be inhibited. </w:t>
      </w:r>
      <w:r w:rsidR="00875683">
        <w:rPr>
          <w:rFonts w:ascii="Times New Roman" w:eastAsia="Times New Roman" w:hAnsi="Times New Roman" w:cs="Times New Roman"/>
          <w:sz w:val="24"/>
          <w:szCs w:val="24"/>
        </w:rPr>
        <w:t xml:space="preserve">One disadvantage is </w:t>
      </w:r>
      <w:r w:rsidR="007A3C09">
        <w:rPr>
          <w:rFonts w:ascii="Times New Roman" w:eastAsia="Times New Roman" w:hAnsi="Times New Roman" w:cs="Times New Roman"/>
          <w:sz w:val="24"/>
          <w:szCs w:val="24"/>
        </w:rPr>
        <w:t xml:space="preserve">that </w:t>
      </w:r>
      <w:r w:rsidR="00FB3B38">
        <w:rPr>
          <w:rFonts w:ascii="Times New Roman" w:eastAsia="Times New Roman" w:hAnsi="Times New Roman" w:cs="Times New Roman"/>
          <w:sz w:val="24"/>
          <w:szCs w:val="24"/>
        </w:rPr>
        <w:t xml:space="preserve">the court would have to expand upon the statute’s meaning in drafting an additional requirement that the written agreement be signed prior to completion of </w:t>
      </w:r>
      <w:proofErr w:type="gramStart"/>
      <w:r w:rsidR="00FB3B38">
        <w:rPr>
          <w:rFonts w:ascii="Times New Roman" w:eastAsia="Times New Roman" w:hAnsi="Times New Roman" w:cs="Times New Roman"/>
          <w:sz w:val="24"/>
          <w:szCs w:val="24"/>
        </w:rPr>
        <w:t>work which</w:t>
      </w:r>
      <w:proofErr w:type="gramEnd"/>
      <w:r w:rsidR="00FB3B38">
        <w:rPr>
          <w:rFonts w:ascii="Times New Roman" w:eastAsia="Times New Roman" w:hAnsi="Times New Roman" w:cs="Times New Roman"/>
          <w:sz w:val="24"/>
          <w:szCs w:val="24"/>
        </w:rPr>
        <w:t xml:space="preserve"> cau</w:t>
      </w:r>
      <w:r w:rsidR="009B0787">
        <w:rPr>
          <w:rFonts w:ascii="Times New Roman" w:eastAsia="Times New Roman" w:hAnsi="Times New Roman" w:cs="Times New Roman"/>
          <w:sz w:val="24"/>
          <w:szCs w:val="24"/>
        </w:rPr>
        <w:t xml:space="preserve">ses administrative </w:t>
      </w:r>
      <w:proofErr w:type="spellStart"/>
      <w:r w:rsidR="009B0787">
        <w:rPr>
          <w:rFonts w:ascii="Times New Roman" w:eastAsia="Times New Roman" w:hAnsi="Times New Roman" w:cs="Times New Roman"/>
          <w:sz w:val="24"/>
          <w:szCs w:val="24"/>
        </w:rPr>
        <w:t>surplusage</w:t>
      </w:r>
      <w:proofErr w:type="spellEnd"/>
      <w:r w:rsidR="009B0787">
        <w:rPr>
          <w:rFonts w:ascii="Times New Roman" w:eastAsia="Times New Roman" w:hAnsi="Times New Roman" w:cs="Times New Roman"/>
          <w:sz w:val="24"/>
          <w:szCs w:val="24"/>
        </w:rPr>
        <w:t>. T</w:t>
      </w:r>
      <w:r w:rsidR="00FB3B38">
        <w:rPr>
          <w:rFonts w:ascii="Times New Roman" w:eastAsia="Times New Roman" w:hAnsi="Times New Roman" w:cs="Times New Roman"/>
          <w:sz w:val="24"/>
          <w:szCs w:val="24"/>
        </w:rPr>
        <w:t>he court would be acting contrary to free trade policies in the Western countries by directly causing a slowdown of financial agreements through requiring companies to draft written agreements for commissioned works prior to work completion.</w:t>
      </w:r>
    </w:p>
    <w:p w14:paraId="468CD694" w14:textId="77777777" w:rsidR="00DE67C7" w:rsidRPr="000B4BC7" w:rsidRDefault="000B4BC7" w:rsidP="000B4BC7">
      <w:pPr>
        <w:spacing w:line="480" w:lineRule="auto"/>
        <w:ind w:firstLine="720"/>
        <w:contextualSpacing/>
        <w:rPr>
          <w:rFonts w:ascii="Times New Roman" w:eastAsia="Times New Roman" w:hAnsi="Times New Roman" w:cs="Times New Roman"/>
          <w:b/>
          <w:sz w:val="24"/>
          <w:szCs w:val="24"/>
        </w:rPr>
      </w:pPr>
      <w:r>
        <w:rPr>
          <w:rFonts w:ascii="Times New Roman" w:eastAsia="Times New Roman" w:hAnsi="Times New Roman" w:cs="Times New Roman"/>
          <w:sz w:val="24"/>
          <w:szCs w:val="24"/>
        </w:rPr>
        <w:t>A fur</w:t>
      </w:r>
      <w:r w:rsidR="009B0787">
        <w:rPr>
          <w:rFonts w:ascii="Times New Roman" w:eastAsia="Times New Roman" w:hAnsi="Times New Roman" w:cs="Times New Roman"/>
          <w:sz w:val="24"/>
          <w:szCs w:val="24"/>
        </w:rPr>
        <w:t>ther issue</w:t>
      </w:r>
      <w:r>
        <w:rPr>
          <w:rFonts w:ascii="Times New Roman" w:eastAsia="Times New Roman" w:hAnsi="Times New Roman" w:cs="Times New Roman"/>
          <w:sz w:val="24"/>
          <w:szCs w:val="24"/>
        </w:rPr>
        <w:t xml:space="preserve"> caused by a prior-to-creation writing requirement is that it would be </w:t>
      </w:r>
      <w:r w:rsidRPr="00960130">
        <w:rPr>
          <w:rFonts w:ascii="Times New Roman" w:eastAsia="Times New Roman" w:hAnsi="Times New Roman" w:cs="Times New Roman"/>
          <w:sz w:val="24"/>
          <w:szCs w:val="24"/>
        </w:rPr>
        <w:t>inconsistent</w:t>
      </w:r>
      <w:r w:rsidR="00C81AD7" w:rsidRPr="00960130">
        <w:rPr>
          <w:rFonts w:ascii="Times New Roman" w:eastAsia="Times New Roman" w:hAnsi="Times New Roman" w:cs="Times New Roman"/>
          <w:sz w:val="24"/>
          <w:szCs w:val="24"/>
        </w:rPr>
        <w:t xml:space="preserve"> with the prevailing practice in the industries to which </w:t>
      </w:r>
      <w:bookmarkStart w:id="50" w:name="CITRUS_BOOKMARK61"/>
      <w:r w:rsidR="001B558C" w:rsidRPr="00960130">
        <w:rPr>
          <w:rFonts w:ascii="Times New Roman" w:hAnsi="Times New Roman" w:cs="Times New Roman"/>
          <w:bCs/>
          <w:sz w:val="24"/>
        </w:rPr>
        <w:t>17 U.S.C. § 101</w:t>
      </w:r>
      <w:bookmarkEnd w:id="50"/>
      <w:r w:rsidR="00C81AD7" w:rsidRPr="00960130">
        <w:rPr>
          <w:rFonts w:ascii="Times New Roman" w:hAnsi="Times New Roman" w:cs="Times New Roman"/>
          <w:bCs/>
          <w:sz w:val="24"/>
        </w:rPr>
        <w:t xml:space="preserve"> is applicable. </w:t>
      </w:r>
      <w:r w:rsidR="00C931E9" w:rsidRPr="00960130">
        <w:rPr>
          <w:rFonts w:ascii="Times New Roman" w:hAnsi="Times New Roman" w:cs="Times New Roman"/>
          <w:sz w:val="24"/>
          <w:szCs w:val="24"/>
        </w:rPr>
        <w:t>The</w:t>
      </w:r>
      <w:r w:rsidR="00C931E9" w:rsidRPr="00DE67C7">
        <w:rPr>
          <w:rFonts w:ascii="Times New Roman" w:hAnsi="Times New Roman" w:cs="Times New Roman"/>
          <w:sz w:val="24"/>
          <w:szCs w:val="24"/>
        </w:rPr>
        <w:t xml:space="preserve"> Second Circuit Court of Appeals in </w:t>
      </w:r>
      <w:r w:rsidR="00C931E9" w:rsidRPr="000B4BC7">
        <w:rPr>
          <w:rFonts w:ascii="Times New Roman" w:hAnsi="Times New Roman" w:cs="Times New Roman"/>
          <w:i/>
          <w:sz w:val="24"/>
          <w:szCs w:val="24"/>
        </w:rPr>
        <w:t>Playboy v. Dumas</w:t>
      </w:r>
      <w:r w:rsidR="00C931E9" w:rsidRPr="00DE67C7">
        <w:rPr>
          <w:rFonts w:ascii="Times New Roman" w:hAnsi="Times New Roman" w:cs="Times New Roman"/>
          <w:sz w:val="24"/>
          <w:szCs w:val="24"/>
        </w:rPr>
        <w:t xml:space="preserve"> interpreted the statute correctly in finding that the </w:t>
      </w:r>
      <w:r w:rsidR="00C931E9" w:rsidRPr="002B239B">
        <w:rPr>
          <w:rFonts w:ascii="Times New Roman" w:hAnsi="Times New Roman" w:cs="Times New Roman"/>
          <w:sz w:val="24"/>
          <w:szCs w:val="24"/>
        </w:rPr>
        <w:t xml:space="preserve">writing requirement </w:t>
      </w:r>
      <w:r w:rsidR="003E2E6F">
        <w:rPr>
          <w:rFonts w:ascii="Times New Roman" w:hAnsi="Times New Roman" w:cs="Times New Roman"/>
          <w:sz w:val="24"/>
          <w:szCs w:val="24"/>
        </w:rPr>
        <w:t>need</w:t>
      </w:r>
      <w:r w:rsidR="003E2E6F" w:rsidRPr="002B239B">
        <w:rPr>
          <w:rFonts w:ascii="Times New Roman" w:hAnsi="Times New Roman" w:cs="Times New Roman"/>
          <w:sz w:val="24"/>
          <w:szCs w:val="24"/>
        </w:rPr>
        <w:t xml:space="preserve"> </w:t>
      </w:r>
      <w:r w:rsidR="00C931E9" w:rsidRPr="002B239B">
        <w:rPr>
          <w:rFonts w:ascii="Times New Roman" w:hAnsi="Times New Roman" w:cs="Times New Roman"/>
          <w:sz w:val="24"/>
          <w:szCs w:val="24"/>
        </w:rPr>
        <w:t xml:space="preserve">not be signed prior to creation of the works. A rationale for this ruling was that it would be consistent </w:t>
      </w:r>
      <w:r w:rsidR="00D14515" w:rsidRPr="002B239B">
        <w:rPr>
          <w:rFonts w:ascii="Times New Roman" w:hAnsi="Times New Roman" w:cs="Times New Roman"/>
          <w:sz w:val="24"/>
          <w:szCs w:val="24"/>
        </w:rPr>
        <w:t xml:space="preserve">with industry standards. After-the-fact writings </w:t>
      </w:r>
      <w:r w:rsidR="00D14515" w:rsidRPr="002B239B">
        <w:rPr>
          <w:rStyle w:val="Emphasis"/>
          <w:rFonts w:ascii="Times New Roman" w:hAnsi="Times New Roman" w:cs="Times New Roman"/>
          <w:i w:val="0"/>
          <w:sz w:val="24"/>
          <w:szCs w:val="24"/>
        </w:rPr>
        <w:t>were</w:t>
      </w:r>
      <w:r w:rsidR="00DE67C7" w:rsidRPr="002B239B">
        <w:rPr>
          <w:rStyle w:val="Emphasis"/>
          <w:rFonts w:ascii="Times New Roman" w:hAnsi="Times New Roman" w:cs="Times New Roman"/>
          <w:i w:val="0"/>
          <w:sz w:val="24"/>
          <w:szCs w:val="24"/>
        </w:rPr>
        <w:t xml:space="preserve"> standard and normal occurrence</w:t>
      </w:r>
      <w:r w:rsidR="00D14515" w:rsidRPr="002B239B">
        <w:rPr>
          <w:rStyle w:val="Emphasis"/>
          <w:rFonts w:ascii="Times New Roman" w:hAnsi="Times New Roman" w:cs="Times New Roman"/>
          <w:i w:val="0"/>
          <w:sz w:val="24"/>
          <w:szCs w:val="24"/>
        </w:rPr>
        <w:t>s</w:t>
      </w:r>
      <w:r w:rsidR="00D14515" w:rsidRPr="002B239B">
        <w:rPr>
          <w:rStyle w:val="Emphasis"/>
          <w:rFonts w:ascii="Times New Roman" w:hAnsi="Times New Roman" w:cs="Times New Roman"/>
          <w:sz w:val="24"/>
          <w:szCs w:val="24"/>
        </w:rPr>
        <w:t xml:space="preserve"> </w:t>
      </w:r>
      <w:r w:rsidR="00D14515" w:rsidRPr="002B239B">
        <w:rPr>
          <w:rFonts w:ascii="Times New Roman" w:hAnsi="Times New Roman" w:cs="Times New Roman"/>
          <w:sz w:val="24"/>
          <w:szCs w:val="24"/>
        </w:rPr>
        <w:t xml:space="preserve">in </w:t>
      </w:r>
      <w:r w:rsidR="002B239B" w:rsidRPr="002B239B">
        <w:rPr>
          <w:rFonts w:ascii="Times New Roman" w:hAnsi="Times New Roman" w:cs="Times New Roman"/>
          <w:sz w:val="24"/>
          <w:szCs w:val="24"/>
        </w:rPr>
        <w:t xml:space="preserve">applicable </w:t>
      </w:r>
      <w:r w:rsidR="00D14515" w:rsidRPr="002B239B">
        <w:rPr>
          <w:rFonts w:ascii="Times New Roman" w:hAnsi="Times New Roman" w:cs="Times New Roman"/>
          <w:sz w:val="24"/>
          <w:szCs w:val="24"/>
        </w:rPr>
        <w:t>industries</w:t>
      </w:r>
      <w:r w:rsidR="00D14515" w:rsidRPr="00DE67C7">
        <w:rPr>
          <w:rFonts w:ascii="Times New Roman" w:hAnsi="Times New Roman" w:cs="Times New Roman"/>
          <w:sz w:val="24"/>
          <w:szCs w:val="24"/>
        </w:rPr>
        <w:t xml:space="preserve"> under</w:t>
      </w:r>
      <w:r w:rsidR="00DE67C7">
        <w:rPr>
          <w:rFonts w:ascii="Times New Roman" w:hAnsi="Times New Roman" w:cs="Times New Roman"/>
          <w:sz w:val="24"/>
          <w:szCs w:val="24"/>
        </w:rPr>
        <w:t xml:space="preserve"> </w:t>
      </w:r>
      <w:bookmarkStart w:id="51" w:name="CITRUS_BOOKMARK62"/>
      <w:r w:rsidR="001B558C" w:rsidRPr="00551F7A">
        <w:rPr>
          <w:rFonts w:ascii="Times New Roman" w:hAnsi="Times New Roman" w:cs="Times New Roman"/>
          <w:bCs/>
          <w:sz w:val="24"/>
        </w:rPr>
        <w:t>17 U.S.C. § 101</w:t>
      </w:r>
      <w:bookmarkEnd w:id="51"/>
      <w:r w:rsidR="00D14515" w:rsidRPr="00DE67C7">
        <w:rPr>
          <w:rFonts w:ascii="Times New Roman" w:hAnsi="Times New Roman" w:cs="Times New Roman"/>
          <w:sz w:val="24"/>
          <w:szCs w:val="24"/>
        </w:rPr>
        <w:t xml:space="preserve">. </w:t>
      </w:r>
      <w:r w:rsidR="00C931E9" w:rsidRPr="00DE67C7">
        <w:rPr>
          <w:rFonts w:ascii="Times New Roman" w:eastAsia="Times New Roman" w:hAnsi="Times New Roman" w:cs="Times New Roman"/>
          <w:i/>
          <w:iCs/>
          <w:sz w:val="24"/>
          <w:szCs w:val="24"/>
        </w:rPr>
        <w:t>Hearing on S. 2044 Before the Comm. on the Judiciary, United States Senate,</w:t>
      </w:r>
      <w:r w:rsidR="00C931E9" w:rsidRPr="00C931E9">
        <w:rPr>
          <w:rFonts w:ascii="Times New Roman" w:eastAsia="Times New Roman" w:hAnsi="Times New Roman" w:cs="Times New Roman"/>
          <w:sz w:val="24"/>
          <w:szCs w:val="24"/>
        </w:rPr>
        <w:t xml:space="preserve"> 97th Cong., 2d Sess. 1, 26 (1982) (describing </w:t>
      </w:r>
      <w:r w:rsidR="00D4643C">
        <w:rPr>
          <w:rFonts w:ascii="Times New Roman" w:eastAsia="Times New Roman" w:hAnsi="Times New Roman" w:cs="Times New Roman"/>
          <w:sz w:val="24"/>
          <w:szCs w:val="24"/>
        </w:rPr>
        <w:t>general practice of NY Times in using post-creation</w:t>
      </w:r>
      <w:r w:rsidR="00C931E9" w:rsidRPr="00C931E9">
        <w:rPr>
          <w:rFonts w:ascii="Times New Roman" w:eastAsia="Times New Roman" w:hAnsi="Times New Roman" w:cs="Times New Roman"/>
          <w:sz w:val="24"/>
          <w:szCs w:val="24"/>
        </w:rPr>
        <w:t xml:space="preserve"> writings </w:t>
      </w:r>
      <w:r w:rsidR="00D4643C">
        <w:rPr>
          <w:rFonts w:ascii="Times New Roman" w:eastAsia="Times New Roman" w:hAnsi="Times New Roman" w:cs="Times New Roman"/>
          <w:sz w:val="24"/>
          <w:szCs w:val="24"/>
        </w:rPr>
        <w:t xml:space="preserve">in </w:t>
      </w:r>
      <w:r w:rsidR="00C931E9" w:rsidRPr="00C931E9">
        <w:rPr>
          <w:rFonts w:ascii="Times New Roman" w:eastAsia="Times New Roman" w:hAnsi="Times New Roman" w:cs="Times New Roman"/>
          <w:sz w:val="24"/>
          <w:szCs w:val="24"/>
        </w:rPr>
        <w:t>work for hire relationsh</w:t>
      </w:r>
      <w:r w:rsidR="00D4643C">
        <w:rPr>
          <w:rFonts w:ascii="Times New Roman" w:eastAsia="Times New Roman" w:hAnsi="Times New Roman" w:cs="Times New Roman"/>
          <w:sz w:val="24"/>
          <w:szCs w:val="24"/>
        </w:rPr>
        <w:t>ips with contributors</w:t>
      </w:r>
      <w:r w:rsidR="00C931E9" w:rsidRPr="00C931E9">
        <w:rPr>
          <w:rFonts w:ascii="Times New Roman" w:eastAsia="Times New Roman" w:hAnsi="Times New Roman" w:cs="Times New Roman"/>
          <w:sz w:val="24"/>
          <w:szCs w:val="24"/>
        </w:rPr>
        <w:t xml:space="preserve">); </w:t>
      </w:r>
      <w:r w:rsidR="00C931E9" w:rsidRPr="00DE67C7">
        <w:rPr>
          <w:rFonts w:ascii="Times New Roman" w:eastAsia="Times New Roman" w:hAnsi="Times New Roman" w:cs="Times New Roman"/>
          <w:i/>
          <w:iCs/>
          <w:sz w:val="24"/>
          <w:szCs w:val="24"/>
        </w:rPr>
        <w:t xml:space="preserve">Hearings on S. 1253 Before The </w:t>
      </w:r>
      <w:proofErr w:type="spellStart"/>
      <w:r w:rsidR="00C931E9" w:rsidRPr="00DE67C7">
        <w:rPr>
          <w:rFonts w:ascii="Times New Roman" w:eastAsia="Times New Roman" w:hAnsi="Times New Roman" w:cs="Times New Roman"/>
          <w:i/>
          <w:iCs/>
          <w:sz w:val="24"/>
          <w:szCs w:val="24"/>
        </w:rPr>
        <w:t>Subcomm</w:t>
      </w:r>
      <w:proofErr w:type="spellEnd"/>
      <w:r w:rsidR="00C931E9" w:rsidRPr="00DE67C7">
        <w:rPr>
          <w:rFonts w:ascii="Times New Roman" w:eastAsia="Times New Roman" w:hAnsi="Times New Roman" w:cs="Times New Roman"/>
          <w:i/>
          <w:iCs/>
          <w:sz w:val="24"/>
          <w:szCs w:val="24"/>
        </w:rPr>
        <w:t xml:space="preserve">. </w:t>
      </w:r>
      <w:proofErr w:type="gramStart"/>
      <w:r w:rsidR="00C931E9" w:rsidRPr="00DE67C7">
        <w:rPr>
          <w:rFonts w:ascii="Times New Roman" w:eastAsia="Times New Roman" w:hAnsi="Times New Roman" w:cs="Times New Roman"/>
          <w:i/>
          <w:iCs/>
          <w:sz w:val="24"/>
          <w:szCs w:val="24"/>
        </w:rPr>
        <w:t>of</w:t>
      </w:r>
      <w:proofErr w:type="gramEnd"/>
      <w:r w:rsidR="00C931E9" w:rsidRPr="00DE67C7">
        <w:rPr>
          <w:rFonts w:ascii="Times New Roman" w:eastAsia="Times New Roman" w:hAnsi="Times New Roman" w:cs="Times New Roman"/>
          <w:i/>
          <w:iCs/>
          <w:sz w:val="24"/>
          <w:szCs w:val="24"/>
        </w:rPr>
        <w:t xml:space="preserve"> Patents, Trademarks and Copyright of the Senate Comm. on the Judiciary,</w:t>
      </w:r>
      <w:r w:rsidR="00C931E9" w:rsidRPr="00C931E9">
        <w:rPr>
          <w:rFonts w:ascii="Times New Roman" w:eastAsia="Times New Roman" w:hAnsi="Times New Roman" w:cs="Times New Roman"/>
          <w:sz w:val="24"/>
          <w:szCs w:val="24"/>
        </w:rPr>
        <w:t xml:space="preserve"> 101st Cong., 1st Sess. 195, 675 (1990) (statement by </w:t>
      </w:r>
      <w:r w:rsidR="00D4643C">
        <w:rPr>
          <w:rFonts w:ascii="Times New Roman" w:eastAsia="Times New Roman" w:hAnsi="Times New Roman" w:cs="Times New Roman"/>
          <w:sz w:val="24"/>
          <w:szCs w:val="24"/>
        </w:rPr>
        <w:t xml:space="preserve">high-ranking official in a publishing association that altering the </w:t>
      </w:r>
      <w:r w:rsidR="00D4643C">
        <w:rPr>
          <w:rFonts w:ascii="Times New Roman" w:eastAsia="Times New Roman" w:hAnsi="Times New Roman" w:cs="Times New Roman"/>
          <w:sz w:val="24"/>
          <w:szCs w:val="24"/>
        </w:rPr>
        <w:lastRenderedPageBreak/>
        <w:t>practice of post-creation writings would create many administrative issues</w:t>
      </w:r>
      <w:r w:rsidR="00C931E9" w:rsidRPr="00C931E9">
        <w:rPr>
          <w:rFonts w:ascii="Times New Roman" w:eastAsia="Times New Roman" w:hAnsi="Times New Roman" w:cs="Times New Roman"/>
          <w:sz w:val="24"/>
          <w:szCs w:val="24"/>
        </w:rPr>
        <w:t>).</w:t>
      </w:r>
      <w:r w:rsidR="00DE67C7" w:rsidRPr="00DE67C7">
        <w:rPr>
          <w:rFonts w:ascii="Times New Roman" w:eastAsia="Times New Roman" w:hAnsi="Times New Roman" w:cs="Times New Roman"/>
          <w:sz w:val="24"/>
          <w:szCs w:val="24"/>
        </w:rPr>
        <w:t xml:space="preserve"> </w:t>
      </w:r>
      <w:r w:rsidR="00DE67C7" w:rsidRPr="00DE67C7">
        <w:rPr>
          <w:rFonts w:ascii="Times New Roman" w:hAnsi="Times New Roman" w:cs="Times New Roman"/>
          <w:sz w:val="24"/>
          <w:szCs w:val="24"/>
        </w:rPr>
        <w:t>The</w:t>
      </w:r>
      <w:r w:rsidR="004A4EF5">
        <w:rPr>
          <w:rFonts w:ascii="Times New Roman" w:hAnsi="Times New Roman" w:cs="Times New Roman"/>
          <w:sz w:val="24"/>
          <w:szCs w:val="24"/>
        </w:rPr>
        <w:t xml:space="preserve"> petitioner’s</w:t>
      </w:r>
      <w:r w:rsidR="00DE67C7" w:rsidRPr="00DE67C7">
        <w:rPr>
          <w:rFonts w:ascii="Times New Roman" w:hAnsi="Times New Roman" w:cs="Times New Roman"/>
          <w:sz w:val="24"/>
          <w:szCs w:val="24"/>
        </w:rPr>
        <w:t xml:space="preserve"> expert </w:t>
      </w:r>
      <w:r w:rsidR="004A4EF5">
        <w:rPr>
          <w:rFonts w:ascii="Times New Roman" w:hAnsi="Times New Roman" w:cs="Times New Roman"/>
          <w:sz w:val="24"/>
          <w:szCs w:val="24"/>
        </w:rPr>
        <w:t xml:space="preserve">in </w:t>
      </w:r>
      <w:r w:rsidR="004A4EF5" w:rsidRPr="004A4EF5">
        <w:rPr>
          <w:rFonts w:ascii="Times New Roman" w:hAnsi="Times New Roman" w:cs="Times New Roman"/>
          <w:i/>
          <w:sz w:val="24"/>
          <w:szCs w:val="24"/>
        </w:rPr>
        <w:t>Playboy</w:t>
      </w:r>
      <w:r w:rsidR="004A4EF5">
        <w:rPr>
          <w:rFonts w:ascii="Times New Roman" w:hAnsi="Times New Roman" w:cs="Times New Roman"/>
          <w:sz w:val="24"/>
          <w:szCs w:val="24"/>
        </w:rPr>
        <w:t xml:space="preserve"> made the</w:t>
      </w:r>
      <w:r w:rsidR="00C81AD7" w:rsidRPr="00DE67C7">
        <w:rPr>
          <w:rFonts w:ascii="Times New Roman" w:hAnsi="Times New Roman" w:cs="Times New Roman"/>
          <w:sz w:val="24"/>
          <w:szCs w:val="24"/>
        </w:rPr>
        <w:t xml:space="preserve"> point in his published treatise:</w:t>
      </w:r>
      <w:r w:rsidR="00DE67C7">
        <w:rPr>
          <w:rFonts w:ascii="Times New Roman" w:hAnsi="Times New Roman" w:cs="Times New Roman"/>
          <w:sz w:val="24"/>
          <w:szCs w:val="24"/>
        </w:rPr>
        <w:t xml:space="preserve"> </w:t>
      </w:r>
    </w:p>
    <w:p w14:paraId="2410CFDF" w14:textId="77777777" w:rsidR="00C81AD7" w:rsidRPr="00AF114F" w:rsidRDefault="00C81AD7" w:rsidP="0065137E">
      <w:pPr>
        <w:spacing w:line="240" w:lineRule="auto"/>
        <w:ind w:left="720" w:right="720"/>
        <w:contextualSpacing/>
        <w:jc w:val="both"/>
        <w:rPr>
          <w:rFonts w:ascii="Times New Roman" w:hAnsi="Times New Roman" w:cs="Times New Roman"/>
          <w:sz w:val="24"/>
          <w:szCs w:val="24"/>
        </w:rPr>
      </w:pPr>
      <w:r w:rsidRPr="00517CBB">
        <w:rPr>
          <w:rFonts w:ascii="Times New Roman" w:hAnsi="Times New Roman" w:cs="Times New Roman"/>
          <w:i/>
          <w:sz w:val="24"/>
          <w:szCs w:val="24"/>
        </w:rPr>
        <w:t>The trouble, of course, is that, in the real world, publishers and editors frequently deal informally with writers, artists and photographers. The telephone, and not a “written in</w:t>
      </w:r>
      <w:r w:rsidR="00DE67C7" w:rsidRPr="00517CBB">
        <w:rPr>
          <w:rFonts w:ascii="Times New Roman" w:hAnsi="Times New Roman" w:cs="Times New Roman"/>
          <w:i/>
          <w:sz w:val="24"/>
          <w:szCs w:val="24"/>
        </w:rPr>
        <w:t>strument” is the means by which</w:t>
      </w:r>
      <w:r w:rsidRPr="00517CBB">
        <w:rPr>
          <w:rFonts w:ascii="Times New Roman" w:hAnsi="Times New Roman" w:cs="Times New Roman"/>
          <w:i/>
          <w:sz w:val="24"/>
          <w:szCs w:val="24"/>
        </w:rPr>
        <w:t xml:space="preserve"> the assignment is made and by reason of which the work is performed. Under these circumstances, it would seem that a court should be willing to accept a retroactive recitation that the work was intended to be a work made for hire where such a work made for hire relationship was tacitly contemplated.</w:t>
      </w:r>
      <w:r w:rsidR="00517CBB" w:rsidRPr="00517CBB">
        <w:rPr>
          <w:rFonts w:ascii="Times New Roman" w:hAnsi="Times New Roman" w:cs="Times New Roman"/>
          <w:i/>
          <w:sz w:val="24"/>
          <w:szCs w:val="24"/>
        </w:rPr>
        <w:t xml:space="preserve"> </w:t>
      </w:r>
      <w:proofErr w:type="gramStart"/>
      <w:r w:rsidRPr="00AF114F">
        <w:rPr>
          <w:rFonts w:ascii="Times New Roman" w:hAnsi="Times New Roman" w:cs="Times New Roman"/>
          <w:sz w:val="24"/>
          <w:szCs w:val="24"/>
        </w:rPr>
        <w:t xml:space="preserve">2 E. Gabriel </w:t>
      </w:r>
      <w:proofErr w:type="spellStart"/>
      <w:r w:rsidRPr="00AF114F">
        <w:rPr>
          <w:rFonts w:ascii="Times New Roman" w:hAnsi="Times New Roman" w:cs="Times New Roman"/>
          <w:sz w:val="24"/>
          <w:szCs w:val="24"/>
        </w:rPr>
        <w:t>Perle</w:t>
      </w:r>
      <w:proofErr w:type="spellEnd"/>
      <w:r w:rsidRPr="00AF114F">
        <w:rPr>
          <w:rFonts w:ascii="Times New Roman" w:hAnsi="Times New Roman" w:cs="Times New Roman"/>
          <w:sz w:val="24"/>
          <w:szCs w:val="24"/>
        </w:rPr>
        <w:t xml:space="preserve"> &amp; John Taylor Williams, </w:t>
      </w:r>
      <w:r w:rsidRPr="00AF114F">
        <w:rPr>
          <w:rStyle w:val="Emphasis"/>
          <w:rFonts w:ascii="Times New Roman" w:hAnsi="Times New Roman" w:cs="Times New Roman"/>
          <w:sz w:val="24"/>
          <w:szCs w:val="24"/>
        </w:rPr>
        <w:t>The Publishing Law Handbook,</w:t>
      </w:r>
      <w:r w:rsidRPr="00AF114F">
        <w:rPr>
          <w:rFonts w:ascii="Times New Roman" w:hAnsi="Times New Roman" w:cs="Times New Roman"/>
          <w:sz w:val="24"/>
          <w:szCs w:val="24"/>
        </w:rPr>
        <w:t xml:space="preserve"> </w:t>
      </w:r>
      <w:bookmarkStart w:id="52" w:name="CITRUS_BOOKMARK1000000063"/>
      <w:r w:rsidRPr="00551F7A">
        <w:rPr>
          <w:rFonts w:ascii="Times New Roman" w:hAnsi="Times New Roman" w:cs="Times New Roman"/>
          <w:sz w:val="24"/>
          <w:szCs w:val="24"/>
        </w:rPr>
        <w:t>§ 15.03(g)</w:t>
      </w:r>
      <w:bookmarkEnd w:id="52"/>
      <w:r w:rsidRPr="00AF114F">
        <w:rPr>
          <w:rFonts w:ascii="Times New Roman" w:hAnsi="Times New Roman" w:cs="Times New Roman"/>
          <w:sz w:val="24"/>
          <w:szCs w:val="24"/>
        </w:rPr>
        <w:t>, at 15-23 (2d ed. 1992).</w:t>
      </w:r>
      <w:proofErr w:type="gramEnd"/>
    </w:p>
    <w:p w14:paraId="34036B44" w14:textId="77777777" w:rsidR="00C81AD7" w:rsidRDefault="00C81AD7" w:rsidP="00C81AD7"/>
    <w:p w14:paraId="0236CD99" w14:textId="77777777" w:rsidR="004A4EF5" w:rsidRDefault="004A4EF5" w:rsidP="004A4EF5">
      <w:pPr>
        <w:spacing w:line="480" w:lineRule="auto"/>
        <w:contextualSpacing/>
      </w:pPr>
      <w:r w:rsidRPr="00DE67C7">
        <w:rPr>
          <w:rFonts w:ascii="Times New Roman" w:eastAsia="Times New Roman" w:hAnsi="Times New Roman" w:cs="Times New Roman"/>
          <w:sz w:val="24"/>
          <w:szCs w:val="24"/>
        </w:rPr>
        <w:t xml:space="preserve">The petitioner’s expert in </w:t>
      </w:r>
      <w:r w:rsidRPr="00DE67C7">
        <w:rPr>
          <w:rFonts w:ascii="Times New Roman" w:eastAsia="Times New Roman" w:hAnsi="Times New Roman" w:cs="Times New Roman"/>
          <w:i/>
          <w:sz w:val="24"/>
          <w:szCs w:val="24"/>
        </w:rPr>
        <w:t>Playboy</w:t>
      </w:r>
      <w:r w:rsidRPr="00DE67C7">
        <w:rPr>
          <w:rFonts w:ascii="Times New Roman" w:hAnsi="Times New Roman" w:cs="Times New Roman"/>
          <w:i/>
          <w:sz w:val="24"/>
          <w:szCs w:val="24"/>
        </w:rPr>
        <w:t xml:space="preserve"> </w:t>
      </w:r>
      <w:r w:rsidRPr="00C159E1">
        <w:rPr>
          <w:rFonts w:ascii="Times New Roman" w:hAnsi="Times New Roman" w:cs="Times New Roman"/>
          <w:sz w:val="24"/>
          <w:szCs w:val="24"/>
        </w:rPr>
        <w:t>even conceded that there were</w:t>
      </w:r>
      <w:r w:rsidRPr="00DE67C7">
        <w:rPr>
          <w:rFonts w:ascii="Times New Roman" w:hAnsi="Times New Roman" w:cs="Times New Roman"/>
          <w:sz w:val="24"/>
          <w:szCs w:val="24"/>
        </w:rPr>
        <w:t xml:space="preserve"> situations in which a subsequent writing could properly confirm a prior agreement that a work would be considered made for hire.</w:t>
      </w:r>
    </w:p>
    <w:p w14:paraId="0B7A1B69" w14:textId="77777777" w:rsidR="00C81AD7" w:rsidRPr="00FA13C8" w:rsidRDefault="00FA13C8" w:rsidP="00326753">
      <w:pPr>
        <w:spacing w:after="240" w:line="480" w:lineRule="auto"/>
        <w:ind w:firstLine="720"/>
        <w:contextualSpacing/>
        <w:rPr>
          <w:rFonts w:ascii="CenturySchoolbook" w:hAnsi="CenturySchoolbook" w:cs="CenturySchoolbook"/>
          <w:b/>
          <w:sz w:val="24"/>
          <w:szCs w:val="24"/>
        </w:rPr>
      </w:pPr>
      <w:r w:rsidRPr="00FA13C8">
        <w:rPr>
          <w:rFonts w:ascii="Times New Roman" w:eastAsia="Times New Roman" w:hAnsi="Times New Roman" w:cs="Times New Roman"/>
          <w:sz w:val="24"/>
          <w:szCs w:val="24"/>
        </w:rPr>
        <w:t>Finally, h</w:t>
      </w:r>
      <w:r w:rsidR="007E1440" w:rsidRPr="00FA13C8">
        <w:rPr>
          <w:rFonts w:ascii="Times New Roman" w:eastAsia="Times New Roman" w:hAnsi="Times New Roman" w:cs="Times New Roman"/>
          <w:sz w:val="24"/>
          <w:szCs w:val="24"/>
        </w:rPr>
        <w:t>aving a bright-line requirement that the writing be signed prior to creation of the work creates uncertainty.</w:t>
      </w:r>
      <w:r w:rsidR="007E1440" w:rsidRPr="007E1440">
        <w:rPr>
          <w:rFonts w:ascii="Times New Roman" w:eastAsia="Times New Roman" w:hAnsi="Times New Roman" w:cs="Times New Roman"/>
          <w:b/>
          <w:sz w:val="24"/>
          <w:szCs w:val="24"/>
        </w:rPr>
        <w:t xml:space="preserve"> </w:t>
      </w:r>
      <w:r w:rsidR="007E1440" w:rsidRPr="00CC14AE">
        <w:rPr>
          <w:rFonts w:ascii="Times New Roman" w:hAnsi="Times New Roman" w:cs="Times New Roman"/>
          <w:sz w:val="24"/>
          <w:szCs w:val="24"/>
        </w:rPr>
        <w:t xml:space="preserve">The </w:t>
      </w:r>
      <w:proofErr w:type="spellStart"/>
      <w:r w:rsidR="007E1440" w:rsidRPr="00CC14AE">
        <w:rPr>
          <w:rFonts w:ascii="Times New Roman" w:hAnsi="Times New Roman" w:cs="Times New Roman"/>
          <w:i/>
          <w:sz w:val="24"/>
          <w:szCs w:val="24"/>
        </w:rPr>
        <w:t>Gladwell</w:t>
      </w:r>
      <w:proofErr w:type="spellEnd"/>
      <w:r w:rsidR="007E1440" w:rsidRPr="00CC14AE">
        <w:rPr>
          <w:rFonts w:ascii="Times New Roman" w:hAnsi="Times New Roman" w:cs="Times New Roman"/>
          <w:i/>
          <w:sz w:val="24"/>
          <w:szCs w:val="24"/>
        </w:rPr>
        <w:t xml:space="preserve"> </w:t>
      </w:r>
      <w:r w:rsidR="00CC14AE" w:rsidRPr="00CC14AE">
        <w:rPr>
          <w:rFonts w:ascii="Times New Roman" w:hAnsi="Times New Roman" w:cs="Times New Roman"/>
          <w:sz w:val="24"/>
          <w:szCs w:val="24"/>
        </w:rPr>
        <w:t xml:space="preserve">court, in finding that the writing does not have to be signed prior to the work’s creation, </w:t>
      </w:r>
      <w:r w:rsidR="007E1440" w:rsidRPr="00CC14AE">
        <w:rPr>
          <w:rFonts w:ascii="Times New Roman" w:hAnsi="Times New Roman" w:cs="Times New Roman"/>
          <w:sz w:val="24"/>
          <w:szCs w:val="24"/>
        </w:rPr>
        <w:t xml:space="preserve">adopted the reasoning of </w:t>
      </w:r>
      <w:r w:rsidR="00EB7920" w:rsidRPr="00CC14AE">
        <w:rPr>
          <w:rFonts w:ascii="Times New Roman" w:hAnsi="Times New Roman" w:cs="Times New Roman"/>
          <w:sz w:val="24"/>
          <w:szCs w:val="24"/>
        </w:rPr>
        <w:t xml:space="preserve">the </w:t>
      </w:r>
      <w:proofErr w:type="spellStart"/>
      <w:r w:rsidR="00237FCF" w:rsidRPr="00CC14AE">
        <w:rPr>
          <w:rFonts w:ascii="Times New Roman" w:hAnsi="Times New Roman" w:cs="Times New Roman"/>
          <w:sz w:val="24"/>
          <w:szCs w:val="24"/>
        </w:rPr>
        <w:t>Nimmer</w:t>
      </w:r>
      <w:r w:rsidR="00237FCF">
        <w:rPr>
          <w:rFonts w:ascii="Times New Roman" w:hAnsi="Times New Roman" w:cs="Times New Roman"/>
          <w:sz w:val="24"/>
          <w:szCs w:val="24"/>
        </w:rPr>
        <w:t>s</w:t>
      </w:r>
      <w:proofErr w:type="spellEnd"/>
      <w:r w:rsidR="00CC14AE" w:rsidRPr="00CC14AE">
        <w:rPr>
          <w:rFonts w:ascii="Times New Roman" w:hAnsi="Times New Roman" w:cs="Times New Roman"/>
          <w:sz w:val="24"/>
          <w:szCs w:val="24"/>
        </w:rPr>
        <w:t xml:space="preserve">. The </w:t>
      </w:r>
      <w:proofErr w:type="spellStart"/>
      <w:r w:rsidR="00CC14AE" w:rsidRPr="00CC14AE">
        <w:rPr>
          <w:rFonts w:ascii="Times New Roman" w:hAnsi="Times New Roman" w:cs="Times New Roman"/>
          <w:sz w:val="24"/>
          <w:szCs w:val="24"/>
        </w:rPr>
        <w:t>Nimmers</w:t>
      </w:r>
      <w:proofErr w:type="spellEnd"/>
      <w:r w:rsidR="00CC14AE" w:rsidRPr="00CC14AE">
        <w:rPr>
          <w:rFonts w:ascii="Times New Roman" w:hAnsi="Times New Roman" w:cs="Times New Roman"/>
          <w:sz w:val="24"/>
          <w:szCs w:val="24"/>
        </w:rPr>
        <w:t xml:space="preserve"> </w:t>
      </w:r>
      <w:r w:rsidR="007E1440" w:rsidRPr="00CC14AE">
        <w:rPr>
          <w:rFonts w:ascii="Times New Roman" w:hAnsi="Times New Roman" w:cs="Times New Roman"/>
          <w:sz w:val="24"/>
          <w:szCs w:val="24"/>
        </w:rPr>
        <w:t>argue in their</w:t>
      </w:r>
      <w:r w:rsidR="00CC14AE" w:rsidRPr="00CC14AE">
        <w:rPr>
          <w:rFonts w:ascii="Times New Roman" w:hAnsi="Times New Roman" w:cs="Times New Roman"/>
          <w:sz w:val="24"/>
          <w:szCs w:val="24"/>
        </w:rPr>
        <w:t xml:space="preserve"> </w:t>
      </w:r>
      <w:r w:rsidR="00EB7920" w:rsidRPr="00CC14AE">
        <w:rPr>
          <w:rFonts w:ascii="Times New Roman" w:hAnsi="Times New Roman" w:cs="Times New Roman"/>
          <w:sz w:val="24"/>
          <w:szCs w:val="24"/>
        </w:rPr>
        <w:t>copyrights treatise</w:t>
      </w:r>
      <w:r w:rsidR="007E1440" w:rsidRPr="00CC14AE">
        <w:rPr>
          <w:rFonts w:ascii="Times New Roman" w:hAnsi="Times New Roman" w:cs="Times New Roman"/>
          <w:sz w:val="24"/>
          <w:szCs w:val="24"/>
        </w:rPr>
        <w:t xml:space="preserve"> </w:t>
      </w:r>
      <w:r w:rsidR="00EB7920" w:rsidRPr="00CC14AE">
        <w:rPr>
          <w:rFonts w:ascii="Times New Roman" w:hAnsi="Times New Roman" w:cs="Times New Roman"/>
          <w:sz w:val="24"/>
          <w:szCs w:val="24"/>
        </w:rPr>
        <w:t>“</w:t>
      </w:r>
      <w:proofErr w:type="spellStart"/>
      <w:r w:rsidR="00EB7920" w:rsidRPr="00CC14AE">
        <w:rPr>
          <w:rFonts w:ascii="Times New Roman" w:hAnsi="Times New Roman" w:cs="Times New Roman"/>
          <w:sz w:val="24"/>
          <w:szCs w:val="24"/>
        </w:rPr>
        <w:t>Nimmer</w:t>
      </w:r>
      <w:proofErr w:type="spellEnd"/>
      <w:r w:rsidR="00EB7920" w:rsidRPr="00CC14AE">
        <w:rPr>
          <w:rFonts w:ascii="Times New Roman" w:hAnsi="Times New Roman" w:cs="Times New Roman"/>
          <w:sz w:val="24"/>
          <w:szCs w:val="24"/>
        </w:rPr>
        <w:t xml:space="preserve"> on Copyright” </w:t>
      </w:r>
      <w:r w:rsidR="007E1440" w:rsidRPr="00CC14AE">
        <w:rPr>
          <w:rFonts w:ascii="Times New Roman" w:hAnsi="Times New Roman" w:cs="Times New Roman"/>
          <w:sz w:val="24"/>
          <w:szCs w:val="24"/>
        </w:rPr>
        <w:t xml:space="preserve">that the bright-line requirement, which mandates that the writing precede creation of the work, “[can] itself </w:t>
      </w:r>
      <w:proofErr w:type="gramStart"/>
      <w:r w:rsidR="007E1440" w:rsidRPr="00CC14AE">
        <w:rPr>
          <w:rFonts w:ascii="Times New Roman" w:hAnsi="Times New Roman" w:cs="Times New Roman"/>
          <w:sz w:val="24"/>
          <w:szCs w:val="24"/>
        </w:rPr>
        <w:t>create</w:t>
      </w:r>
      <w:proofErr w:type="gramEnd"/>
      <w:r w:rsidR="007E1440" w:rsidRPr="00CC14AE">
        <w:rPr>
          <w:rFonts w:ascii="Times New Roman" w:hAnsi="Times New Roman" w:cs="Times New Roman"/>
          <w:sz w:val="24"/>
          <w:szCs w:val="24"/>
        </w:rPr>
        <w:t xml:space="preserve"> uncertainty.”</w:t>
      </w:r>
      <w:r w:rsidR="00DE006C" w:rsidRPr="00CC14AE">
        <w:rPr>
          <w:rFonts w:ascii="Times New Roman" w:hAnsi="Times New Roman" w:cs="Times New Roman"/>
          <w:sz w:val="24"/>
          <w:szCs w:val="24"/>
        </w:rPr>
        <w:t xml:space="preserve"> </w:t>
      </w:r>
      <w:proofErr w:type="gramStart"/>
      <w:r w:rsidR="00DE006C" w:rsidRPr="00CC14AE">
        <w:rPr>
          <w:rFonts w:ascii="Times New Roman" w:hAnsi="Times New Roman" w:cs="Times New Roman"/>
          <w:sz w:val="24"/>
          <w:szCs w:val="24"/>
        </w:rPr>
        <w:t>(</w:t>
      </w:r>
      <w:bookmarkStart w:id="53" w:name="CITRUS_BOOKMARK1000000064"/>
      <w:r w:rsidR="007E1440" w:rsidRPr="00551F7A">
        <w:rPr>
          <w:rFonts w:ascii="Times New Roman" w:hAnsi="Times New Roman" w:cs="Times New Roman"/>
          <w:sz w:val="24"/>
          <w:szCs w:val="24"/>
        </w:rPr>
        <w:t xml:space="preserve">David &amp; Melville </w:t>
      </w:r>
      <w:proofErr w:type="spellStart"/>
      <w:r w:rsidR="007E1440" w:rsidRPr="00551F7A">
        <w:rPr>
          <w:rFonts w:ascii="Times New Roman" w:hAnsi="Times New Roman" w:cs="Times New Roman"/>
          <w:sz w:val="24"/>
          <w:szCs w:val="24"/>
        </w:rPr>
        <w:t>Nimmer</w:t>
      </w:r>
      <w:proofErr w:type="spellEnd"/>
      <w:r w:rsidR="007E1440" w:rsidRPr="00551F7A">
        <w:rPr>
          <w:rFonts w:ascii="Times New Roman" w:hAnsi="Times New Roman" w:cs="Times New Roman"/>
          <w:sz w:val="24"/>
          <w:szCs w:val="24"/>
        </w:rPr>
        <w:t xml:space="preserve">, </w:t>
      </w:r>
      <w:proofErr w:type="spellStart"/>
      <w:r w:rsidR="007E1440" w:rsidRPr="00551F7A">
        <w:rPr>
          <w:rFonts w:ascii="Times New Roman" w:hAnsi="Times New Roman" w:cs="Times New Roman"/>
          <w:sz w:val="24"/>
          <w:szCs w:val="24"/>
        </w:rPr>
        <w:t>Nimmer</w:t>
      </w:r>
      <w:proofErr w:type="spellEnd"/>
      <w:r w:rsidR="007E1440" w:rsidRPr="00551F7A">
        <w:rPr>
          <w:rFonts w:ascii="Times New Roman" w:hAnsi="Times New Roman" w:cs="Times New Roman"/>
          <w:sz w:val="24"/>
          <w:szCs w:val="24"/>
        </w:rPr>
        <w:t xml:space="preserve"> on Copyright § 5</w:t>
      </w:r>
      <w:bookmarkEnd w:id="53"/>
      <w:r w:rsidR="007E1440" w:rsidRPr="00CC14AE">
        <w:rPr>
          <w:rFonts w:ascii="Times New Roman" w:hAnsi="Times New Roman" w:cs="Times New Roman"/>
          <w:sz w:val="24"/>
          <w:szCs w:val="24"/>
        </w:rPr>
        <w:t>.03(B)(2)(b) (1994)).</w:t>
      </w:r>
      <w:proofErr w:type="gramEnd"/>
      <w:r w:rsidR="007E1440" w:rsidRPr="00CC14AE">
        <w:rPr>
          <w:rFonts w:ascii="Times New Roman" w:hAnsi="Times New Roman" w:cs="Times New Roman"/>
          <w:sz w:val="24"/>
          <w:szCs w:val="24"/>
        </w:rPr>
        <w:t xml:space="preserve"> </w:t>
      </w:r>
      <w:r w:rsidR="00CC14AE" w:rsidRPr="00CC14AE">
        <w:rPr>
          <w:rFonts w:ascii="Times New Roman" w:hAnsi="Times New Roman" w:cs="Times New Roman"/>
          <w:sz w:val="24"/>
          <w:szCs w:val="24"/>
        </w:rPr>
        <w:t xml:space="preserve">The </w:t>
      </w:r>
      <w:proofErr w:type="spellStart"/>
      <w:r w:rsidR="00CC14AE" w:rsidRPr="00CC14AE">
        <w:rPr>
          <w:rFonts w:ascii="Times New Roman" w:hAnsi="Times New Roman" w:cs="Times New Roman"/>
          <w:sz w:val="24"/>
          <w:szCs w:val="24"/>
        </w:rPr>
        <w:t>Nimmers</w:t>
      </w:r>
      <w:proofErr w:type="spellEnd"/>
      <w:r w:rsidR="00CC14AE" w:rsidRPr="00CC14AE">
        <w:rPr>
          <w:rFonts w:ascii="Times New Roman" w:hAnsi="Times New Roman" w:cs="Times New Roman"/>
          <w:sz w:val="24"/>
          <w:szCs w:val="24"/>
        </w:rPr>
        <w:t xml:space="preserve"> further argue that a strict prior-to-creation writing rule will frustrate </w:t>
      </w:r>
      <w:r w:rsidR="00237FCF" w:rsidRPr="00CC14AE">
        <w:rPr>
          <w:rFonts w:ascii="Times New Roman" w:hAnsi="Times New Roman" w:cs="Times New Roman"/>
          <w:sz w:val="24"/>
          <w:szCs w:val="24"/>
        </w:rPr>
        <w:t>parties’</w:t>
      </w:r>
      <w:r w:rsidR="00CC14AE" w:rsidRPr="00CC14AE">
        <w:rPr>
          <w:rFonts w:ascii="Times New Roman" w:hAnsi="Times New Roman" w:cs="Times New Roman"/>
          <w:sz w:val="24"/>
          <w:szCs w:val="24"/>
        </w:rPr>
        <w:t xml:space="preserve"> intent and is disadvantageous to the market as a whole. They write, </w:t>
      </w:r>
      <w:r w:rsidR="007E1440" w:rsidRPr="00CC14AE">
        <w:rPr>
          <w:rFonts w:ascii="Times New Roman" w:hAnsi="Times New Roman" w:cs="Times New Roman"/>
          <w:sz w:val="24"/>
          <w:szCs w:val="24"/>
        </w:rPr>
        <w:t>“one can imagine claims involving parties each of whom knew of the unanimous intent among all concerned that the work for hire doctrine would apply, notwithstanding that some of the paperwork remained not fully executed until after crea</w:t>
      </w:r>
      <w:r w:rsidR="004A4EF5">
        <w:rPr>
          <w:rFonts w:ascii="Times New Roman" w:hAnsi="Times New Roman" w:cs="Times New Roman"/>
          <w:sz w:val="24"/>
          <w:szCs w:val="24"/>
        </w:rPr>
        <w:t>tion of the subject work</w:t>
      </w:r>
      <w:r w:rsidR="004A4EF5" w:rsidRPr="004A4EF5">
        <w:rPr>
          <w:rFonts w:ascii="Times New Roman" w:hAnsi="Times New Roman" w:cs="Times New Roman"/>
          <w:sz w:val="24"/>
          <w:szCs w:val="24"/>
        </w:rPr>
        <w:t>.” (</w:t>
      </w:r>
      <w:r w:rsidR="004A4EF5" w:rsidRPr="004A4EF5">
        <w:rPr>
          <w:rFonts w:ascii="Times New Roman" w:hAnsi="Times New Roman" w:cs="Times New Roman"/>
          <w:i/>
          <w:sz w:val="24"/>
          <w:szCs w:val="24"/>
        </w:rPr>
        <w:t>Id.</w:t>
      </w:r>
      <w:r w:rsidR="004A4EF5" w:rsidRPr="004A4EF5">
        <w:rPr>
          <w:rFonts w:ascii="Times New Roman" w:hAnsi="Times New Roman" w:cs="Times New Roman"/>
          <w:sz w:val="24"/>
          <w:szCs w:val="24"/>
        </w:rPr>
        <w:t>)</w:t>
      </w:r>
      <w:r w:rsidR="004A4EF5">
        <w:t xml:space="preserve"> </w:t>
      </w:r>
      <w:r w:rsidR="007E1440" w:rsidRPr="00CC14AE">
        <w:rPr>
          <w:rFonts w:ascii="Times New Roman" w:hAnsi="Times New Roman" w:cs="Times New Roman"/>
          <w:sz w:val="24"/>
          <w:szCs w:val="24"/>
        </w:rPr>
        <w:t>Thus, since a “bright line rule [may] frustrate the intent of [] parties, and cloud, rather th</w:t>
      </w:r>
      <w:r w:rsidR="00CC14AE" w:rsidRPr="00CC14AE">
        <w:rPr>
          <w:rFonts w:ascii="Times New Roman" w:hAnsi="Times New Roman" w:cs="Times New Roman"/>
          <w:sz w:val="24"/>
          <w:szCs w:val="24"/>
        </w:rPr>
        <w:t>an serve the goal of certainty.”</w:t>
      </w:r>
      <w:r w:rsidR="00CC14AE">
        <w:rPr>
          <w:rFonts w:ascii="Times New Roman" w:hAnsi="Times New Roman" w:cs="Times New Roman"/>
          <w:sz w:val="24"/>
          <w:szCs w:val="24"/>
        </w:rPr>
        <w:t xml:space="preserve"> Holding that the writing requirement is not satisfied here </w:t>
      </w:r>
      <w:r w:rsidR="00EB64CE">
        <w:rPr>
          <w:rFonts w:ascii="Times New Roman" w:hAnsi="Times New Roman" w:cs="Times New Roman"/>
          <w:sz w:val="24"/>
          <w:szCs w:val="24"/>
        </w:rPr>
        <w:t xml:space="preserve">due to the timing of the writing would create uncertainty and be damaging to the television industry as well as other industries within the scope of </w:t>
      </w:r>
      <w:bookmarkStart w:id="54" w:name="CITRUS_BOOKMARK65"/>
      <w:r w:rsidR="00EB64CE" w:rsidRPr="00551F7A">
        <w:rPr>
          <w:rFonts w:ascii="Times New Roman" w:hAnsi="Times New Roman" w:cs="Times New Roman"/>
          <w:sz w:val="24"/>
        </w:rPr>
        <w:t>17 U.S.C. §</w:t>
      </w:r>
      <w:r w:rsidR="001B558C" w:rsidRPr="00551F7A">
        <w:rPr>
          <w:rFonts w:ascii="Times New Roman" w:hAnsi="Times New Roman" w:cs="Times New Roman"/>
          <w:sz w:val="24"/>
        </w:rPr>
        <w:t> 101</w:t>
      </w:r>
      <w:bookmarkEnd w:id="54"/>
      <w:r w:rsidR="00EB64CE">
        <w:rPr>
          <w:rFonts w:ascii="Times New Roman" w:hAnsi="Times New Roman" w:cs="Times New Roman"/>
          <w:sz w:val="24"/>
        </w:rPr>
        <w:t xml:space="preserve">. </w:t>
      </w:r>
      <w:r w:rsidR="009F752A">
        <w:rPr>
          <w:rFonts w:ascii="Times New Roman" w:hAnsi="Times New Roman" w:cs="Times New Roman"/>
          <w:sz w:val="24"/>
        </w:rPr>
        <w:t>In partic</w:t>
      </w:r>
      <w:r w:rsidR="009232D7">
        <w:rPr>
          <w:rFonts w:ascii="Times New Roman" w:hAnsi="Times New Roman" w:cs="Times New Roman"/>
          <w:sz w:val="24"/>
        </w:rPr>
        <w:t xml:space="preserve">ular, </w:t>
      </w:r>
      <w:r w:rsidR="009232D7">
        <w:rPr>
          <w:rFonts w:ascii="Times New Roman" w:hAnsi="Times New Roman" w:cs="Times New Roman"/>
          <w:sz w:val="24"/>
        </w:rPr>
        <w:lastRenderedPageBreak/>
        <w:t>it would be damaging to OGS because OGS</w:t>
      </w:r>
      <w:r w:rsidR="009F752A">
        <w:rPr>
          <w:rFonts w:ascii="Times New Roman" w:hAnsi="Times New Roman" w:cs="Times New Roman"/>
          <w:sz w:val="24"/>
        </w:rPr>
        <w:t xml:space="preserve"> would be much more reluctant to commission screenwriters if it faced the risk that the works they paid for would be resold</w:t>
      </w:r>
      <w:r w:rsidR="009232D7">
        <w:rPr>
          <w:rFonts w:ascii="Times New Roman" w:hAnsi="Times New Roman" w:cs="Times New Roman"/>
          <w:sz w:val="24"/>
        </w:rPr>
        <w:t xml:space="preserve"> to other </w:t>
      </w:r>
      <w:r w:rsidR="00E94886">
        <w:rPr>
          <w:rFonts w:ascii="Times New Roman" w:hAnsi="Times New Roman" w:cs="Times New Roman"/>
          <w:sz w:val="24"/>
        </w:rPr>
        <w:t>producers.</w:t>
      </w:r>
    </w:p>
    <w:p w14:paraId="667A40CB" w14:textId="77777777" w:rsidR="00EB64CE" w:rsidRPr="00CC14AE" w:rsidRDefault="00EB64CE" w:rsidP="00CC14AE">
      <w:pPr>
        <w:spacing w:line="480" w:lineRule="auto"/>
        <w:ind w:firstLine="360"/>
        <w:contextualSpacing/>
        <w:rPr>
          <w:rFonts w:ascii="Times New Roman" w:hAnsi="Times New Roman" w:cs="Times New Roman"/>
          <w:sz w:val="24"/>
          <w:szCs w:val="24"/>
        </w:rPr>
      </w:pPr>
    </w:p>
    <w:p w14:paraId="7B149EAC" w14:textId="77777777" w:rsidR="00484092" w:rsidRPr="005D60DC" w:rsidRDefault="00484092" w:rsidP="005D60DC">
      <w:pPr>
        <w:autoSpaceDE w:val="0"/>
        <w:autoSpaceDN w:val="0"/>
        <w:adjustRightInd w:val="0"/>
        <w:ind w:left="360"/>
        <w:jc w:val="center"/>
        <w:rPr>
          <w:rFonts w:ascii="Times New Roman" w:hAnsi="Times New Roman" w:cs="Times New Roman"/>
          <w:b/>
          <w:sz w:val="24"/>
          <w:szCs w:val="24"/>
        </w:rPr>
      </w:pPr>
      <w:r w:rsidRPr="005D60DC">
        <w:rPr>
          <w:rFonts w:ascii="Times New Roman" w:hAnsi="Times New Roman" w:cs="Times New Roman"/>
          <w:b/>
          <w:sz w:val="24"/>
          <w:szCs w:val="24"/>
        </w:rPr>
        <w:t>CONCLUSION</w:t>
      </w:r>
    </w:p>
    <w:p w14:paraId="611835D4" w14:textId="77777777" w:rsidR="00DF091F" w:rsidRDefault="00595AB3" w:rsidP="00335822">
      <w:pPr>
        <w:spacing w:after="0" w:line="480" w:lineRule="auto"/>
        <w:ind w:firstLine="720"/>
        <w:contextualSpacing/>
        <w:rPr>
          <w:rFonts w:ascii="Times New Roman" w:hAnsi="Times New Roman" w:cs="Times New Roman"/>
          <w:sz w:val="24"/>
          <w:szCs w:val="24"/>
        </w:rPr>
      </w:pPr>
      <w:r>
        <w:rPr>
          <w:rStyle w:val="st"/>
          <w:rFonts w:ascii="Times New Roman" w:hAnsi="Times New Roman" w:cs="Times New Roman"/>
          <w:sz w:val="24"/>
        </w:rPr>
        <w:t>OG</w:t>
      </w:r>
      <w:r w:rsidR="00922EBB">
        <w:rPr>
          <w:rStyle w:val="st"/>
          <w:rFonts w:ascii="Times New Roman" w:hAnsi="Times New Roman" w:cs="Times New Roman"/>
          <w:sz w:val="24"/>
        </w:rPr>
        <w:t>S possesses exclusive copyright of the screenplay “Anticipatory Repudiation” as written by Defendant Lime</w:t>
      </w:r>
      <w:r w:rsidR="00BE652E">
        <w:rPr>
          <w:rStyle w:val="st"/>
          <w:rFonts w:ascii="Times New Roman" w:hAnsi="Times New Roman" w:cs="Times New Roman"/>
          <w:sz w:val="24"/>
        </w:rPr>
        <w:t xml:space="preserve"> because it qualifies as a work made for hire.</w:t>
      </w:r>
      <w:r w:rsidR="00922EBB">
        <w:rPr>
          <w:rStyle w:val="st"/>
          <w:rFonts w:ascii="Times New Roman" w:hAnsi="Times New Roman" w:cs="Times New Roman"/>
          <w:sz w:val="24"/>
        </w:rPr>
        <w:t xml:space="preserve"> From a plain language reading of </w:t>
      </w:r>
      <w:bookmarkStart w:id="55" w:name="CITRUS_BOOKMARK66"/>
      <w:r w:rsidR="00F21A41" w:rsidRPr="00551F7A">
        <w:rPr>
          <w:rFonts w:ascii="Times New Roman" w:hAnsi="Times New Roman" w:cs="Times New Roman"/>
          <w:sz w:val="24"/>
        </w:rPr>
        <w:t>17 U</w:t>
      </w:r>
      <w:r w:rsidR="00922EBB" w:rsidRPr="00551F7A">
        <w:rPr>
          <w:rFonts w:ascii="Times New Roman" w:hAnsi="Times New Roman" w:cs="Times New Roman"/>
          <w:sz w:val="24"/>
        </w:rPr>
        <w:t>.S.C. §</w:t>
      </w:r>
      <w:r w:rsidR="001B558C" w:rsidRPr="00551F7A">
        <w:rPr>
          <w:rFonts w:ascii="Times New Roman" w:hAnsi="Times New Roman" w:cs="Times New Roman"/>
          <w:sz w:val="24"/>
        </w:rPr>
        <w:t> 101</w:t>
      </w:r>
      <w:bookmarkEnd w:id="55"/>
      <w:r w:rsidR="00922EBB">
        <w:rPr>
          <w:rFonts w:ascii="Times New Roman" w:hAnsi="Times New Roman" w:cs="Times New Roman"/>
          <w:sz w:val="24"/>
        </w:rPr>
        <w:t xml:space="preserve">, there is no requirement regarding the timing of the written agreement. It would be contrary to legislative intent to expand upon the statute and add a strict requirement that the written agreement be signed prior to completion of the work. </w:t>
      </w:r>
      <w:r w:rsidR="00246949">
        <w:rPr>
          <w:rFonts w:ascii="Times New Roman" w:hAnsi="Times New Roman" w:cs="Times New Roman"/>
          <w:sz w:val="24"/>
        </w:rPr>
        <w:t>Previous case l</w:t>
      </w:r>
      <w:r>
        <w:rPr>
          <w:rFonts w:ascii="Times New Roman" w:hAnsi="Times New Roman" w:cs="Times New Roman"/>
          <w:sz w:val="24"/>
        </w:rPr>
        <w:t>aw indicates that a ruling in OGS</w:t>
      </w:r>
      <w:r w:rsidR="00246949">
        <w:rPr>
          <w:rFonts w:ascii="Times New Roman" w:hAnsi="Times New Roman" w:cs="Times New Roman"/>
          <w:sz w:val="24"/>
        </w:rPr>
        <w:t xml:space="preserve">’s favor is reasonable. </w:t>
      </w:r>
      <w:r w:rsidR="00DF091F">
        <w:rPr>
          <w:rFonts w:ascii="Times New Roman" w:hAnsi="Times New Roman" w:cs="Times New Roman"/>
          <w:sz w:val="24"/>
        </w:rPr>
        <w:t xml:space="preserve">Delineating this requirement would be bad public policy </w:t>
      </w:r>
      <w:r w:rsidR="00DF091F" w:rsidRPr="00246949">
        <w:rPr>
          <w:rFonts w:ascii="Times New Roman" w:hAnsi="Times New Roman" w:cs="Times New Roman"/>
          <w:sz w:val="24"/>
          <w:szCs w:val="24"/>
        </w:rPr>
        <w:t xml:space="preserve">and would discourage efficient and productive business practices. </w:t>
      </w:r>
      <w:r w:rsidR="00246949" w:rsidRPr="00246949">
        <w:rPr>
          <w:rFonts w:ascii="Times New Roman" w:hAnsi="Times New Roman" w:cs="Times New Roman"/>
          <w:sz w:val="24"/>
          <w:szCs w:val="24"/>
        </w:rPr>
        <w:t>For all of the aforementioned reasons, Plaintiff respectfully requests that this Court deny Defendants’</w:t>
      </w:r>
      <w:r>
        <w:rPr>
          <w:rFonts w:ascii="Times New Roman" w:hAnsi="Times New Roman" w:cs="Times New Roman"/>
          <w:sz w:val="24"/>
          <w:szCs w:val="24"/>
        </w:rPr>
        <w:t xml:space="preserve"> motion to dismiss the Complaint.</w:t>
      </w:r>
    </w:p>
    <w:p w14:paraId="78D5DDE7" w14:textId="77777777" w:rsidR="0068452C" w:rsidRDefault="0068452C" w:rsidP="00443C5A">
      <w:pPr>
        <w:spacing w:after="0" w:line="480" w:lineRule="auto"/>
        <w:ind w:firstLine="360"/>
        <w:contextualSpacing/>
        <w:rPr>
          <w:rFonts w:ascii="Times New Roman" w:hAnsi="Times New Roman" w:cs="Times New Roman"/>
          <w:sz w:val="24"/>
        </w:rPr>
      </w:pPr>
    </w:p>
    <w:p w14:paraId="3FAEE998" w14:textId="77777777" w:rsidR="00246949" w:rsidRPr="00246949" w:rsidRDefault="0099615D" w:rsidP="00246949">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0068452C" w:rsidRPr="001C1D19">
        <w:rPr>
          <w:rFonts w:ascii="Times New Roman" w:hAnsi="Times New Roman" w:cs="Times New Roman"/>
          <w:color w:val="000000"/>
          <w:sz w:val="24"/>
          <w:szCs w:val="24"/>
        </w:rPr>
        <w:tab/>
      </w:r>
      <w:r w:rsidR="0068452C" w:rsidRPr="001C1D19">
        <w:rPr>
          <w:rFonts w:ascii="Times New Roman" w:hAnsi="Times New Roman" w:cs="Times New Roman"/>
          <w:color w:val="000000"/>
          <w:sz w:val="24"/>
          <w:szCs w:val="24"/>
        </w:rPr>
        <w:tab/>
      </w:r>
      <w:r w:rsidR="0068452C" w:rsidRPr="001C1D19">
        <w:rPr>
          <w:rFonts w:ascii="Times New Roman" w:hAnsi="Times New Roman" w:cs="Times New Roman"/>
          <w:color w:val="000000"/>
          <w:sz w:val="24"/>
          <w:szCs w:val="24"/>
        </w:rPr>
        <w:tab/>
      </w:r>
      <w:r w:rsidR="0068452C" w:rsidRPr="001C1D19">
        <w:rPr>
          <w:rFonts w:ascii="Times New Roman" w:hAnsi="Times New Roman" w:cs="Times New Roman"/>
          <w:color w:val="000000"/>
          <w:sz w:val="24"/>
          <w:szCs w:val="24"/>
        </w:rPr>
        <w:tab/>
      </w:r>
      <w:r w:rsidR="0068452C" w:rsidRPr="001C1D19">
        <w:rPr>
          <w:rFonts w:ascii="Times New Roman" w:hAnsi="Times New Roman" w:cs="Times New Roman"/>
          <w:color w:val="000000"/>
          <w:sz w:val="24"/>
          <w:szCs w:val="24"/>
        </w:rPr>
        <w:tab/>
      </w:r>
      <w:r w:rsidR="00246949" w:rsidRPr="00246949">
        <w:rPr>
          <w:rFonts w:ascii="Times New Roman" w:hAnsi="Times New Roman" w:cs="Times New Roman"/>
          <w:color w:val="000000"/>
          <w:sz w:val="24"/>
          <w:szCs w:val="24"/>
        </w:rPr>
        <w:t xml:space="preserve">Respectfully submitted, </w:t>
      </w:r>
    </w:p>
    <w:p w14:paraId="34443DAB" w14:textId="77777777" w:rsidR="00246949" w:rsidRPr="00246949" w:rsidRDefault="0099615D" w:rsidP="00246949">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0068452C" w:rsidRPr="001C1D19">
        <w:rPr>
          <w:rFonts w:ascii="Times New Roman" w:hAnsi="Times New Roman" w:cs="Times New Roman"/>
          <w:color w:val="000000"/>
          <w:sz w:val="24"/>
          <w:szCs w:val="24"/>
        </w:rPr>
        <w:tab/>
      </w:r>
      <w:r w:rsidR="0068452C" w:rsidRPr="001C1D19">
        <w:rPr>
          <w:rFonts w:ascii="Times New Roman" w:hAnsi="Times New Roman" w:cs="Times New Roman"/>
          <w:color w:val="000000"/>
          <w:sz w:val="24"/>
          <w:szCs w:val="24"/>
        </w:rPr>
        <w:tab/>
      </w:r>
      <w:r w:rsidR="0068452C" w:rsidRPr="001C1D19">
        <w:rPr>
          <w:rFonts w:ascii="Times New Roman" w:hAnsi="Times New Roman" w:cs="Times New Roman"/>
          <w:color w:val="000000"/>
          <w:sz w:val="24"/>
          <w:szCs w:val="24"/>
        </w:rPr>
        <w:tab/>
      </w:r>
      <w:r w:rsidR="0068452C" w:rsidRPr="001C1D19">
        <w:rPr>
          <w:rFonts w:ascii="Times New Roman" w:hAnsi="Times New Roman" w:cs="Times New Roman"/>
          <w:color w:val="000000"/>
          <w:sz w:val="24"/>
          <w:szCs w:val="24"/>
        </w:rPr>
        <w:tab/>
      </w:r>
      <w:r w:rsidR="0068452C" w:rsidRPr="001C1D19">
        <w:rPr>
          <w:rFonts w:ascii="Times New Roman" w:hAnsi="Times New Roman" w:cs="Times New Roman"/>
          <w:color w:val="000000"/>
          <w:sz w:val="24"/>
          <w:szCs w:val="24"/>
        </w:rPr>
        <w:tab/>
      </w:r>
      <w:r w:rsidR="0068452C" w:rsidRPr="001C1D19">
        <w:rPr>
          <w:rFonts w:ascii="Times New Roman" w:hAnsi="Times New Roman" w:cs="Times New Roman"/>
          <w:color w:val="000000"/>
          <w:sz w:val="24"/>
          <w:szCs w:val="24"/>
        </w:rPr>
        <w:tab/>
      </w:r>
      <w:r w:rsidR="00B85205">
        <w:rPr>
          <w:rFonts w:ascii="Times New Roman" w:hAnsi="Times New Roman" w:cs="Times New Roman"/>
          <w:color w:val="000000"/>
          <w:sz w:val="24"/>
          <w:szCs w:val="24"/>
        </w:rPr>
        <w:t>__________________</w:t>
      </w:r>
    </w:p>
    <w:p w14:paraId="33383B2F" w14:textId="38C196DF" w:rsidR="00246949" w:rsidRPr="00246949" w:rsidRDefault="0084740A" w:rsidP="00246949">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&lt;redacted&gt;&lt;/redacted&gt;</w:t>
      </w:r>
      <w:bookmarkStart w:id="56" w:name="_GoBack"/>
      <w:bookmarkEnd w:id="56"/>
    </w:p>
    <w:p w14:paraId="0F43509F" w14:textId="77777777" w:rsidR="00484092" w:rsidRPr="001C1D19" w:rsidRDefault="0068452C" w:rsidP="0068452C">
      <w:pPr>
        <w:pStyle w:val="ListParagraph"/>
        <w:autoSpaceDE w:val="0"/>
        <w:autoSpaceDN w:val="0"/>
        <w:adjustRightInd w:val="0"/>
        <w:ind w:left="5760" w:firstLine="720"/>
        <w:rPr>
          <w:rFonts w:cs="Times New Roman"/>
          <w:szCs w:val="24"/>
        </w:rPr>
      </w:pPr>
      <w:r w:rsidRPr="001C1D19">
        <w:rPr>
          <w:rFonts w:cs="Times New Roman"/>
          <w:color w:val="000000"/>
          <w:szCs w:val="24"/>
        </w:rPr>
        <w:t>Attorney for Plaintiff</w:t>
      </w:r>
    </w:p>
    <w:sectPr w:rsidR="00484092" w:rsidRPr="001C1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8FCC0" w14:textId="77777777" w:rsidR="0094521A" w:rsidRDefault="0094521A" w:rsidP="002A5E27">
      <w:pPr>
        <w:spacing w:after="0" w:line="240" w:lineRule="auto"/>
      </w:pPr>
      <w:r>
        <w:separator/>
      </w:r>
    </w:p>
  </w:endnote>
  <w:endnote w:type="continuationSeparator" w:id="0">
    <w:p w14:paraId="69AF4CCC" w14:textId="77777777" w:rsidR="0094521A" w:rsidRDefault="0094521A" w:rsidP="002A5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Arial Black">
    <w:panose1 w:val="020B0A040201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enturySchoolbook">
    <w:altName w:val="Century Schoolbook"/>
    <w:panose1 w:val="00000000000000000000"/>
    <w:charset w:val="00"/>
    <w:family w:val="swiss"/>
    <w:notTrueType/>
    <w:pitch w:val="default"/>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88F5F" w14:textId="77777777" w:rsidR="0094521A" w:rsidRDefault="0094521A" w:rsidP="002A5E27">
      <w:pPr>
        <w:spacing w:after="0" w:line="240" w:lineRule="auto"/>
      </w:pPr>
      <w:r>
        <w:separator/>
      </w:r>
    </w:p>
  </w:footnote>
  <w:footnote w:type="continuationSeparator" w:id="0">
    <w:p w14:paraId="4CCCE640" w14:textId="77777777" w:rsidR="0094521A" w:rsidRDefault="0094521A" w:rsidP="002A5E27">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B7FC0"/>
    <w:multiLevelType w:val="hybridMultilevel"/>
    <w:tmpl w:val="C6C63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EA4BFD"/>
    <w:multiLevelType w:val="hybridMultilevel"/>
    <w:tmpl w:val="28D252C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C35F5E"/>
    <w:multiLevelType w:val="hybridMultilevel"/>
    <w:tmpl w:val="566E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F243C7"/>
    <w:multiLevelType w:val="hybridMultilevel"/>
    <w:tmpl w:val="CF2A0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4747BE"/>
    <w:multiLevelType w:val="hybridMultilevel"/>
    <w:tmpl w:val="F48A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5C6476"/>
    <w:multiLevelType w:val="hybridMultilevel"/>
    <w:tmpl w:val="AB88366A"/>
    <w:lvl w:ilvl="0" w:tplc="5DE0ADF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AF4709"/>
    <w:multiLevelType w:val="hybridMultilevel"/>
    <w:tmpl w:val="C9AC49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1A733D"/>
    <w:multiLevelType w:val="hybridMultilevel"/>
    <w:tmpl w:val="75F26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5D5FE6"/>
    <w:multiLevelType w:val="hybridMultilevel"/>
    <w:tmpl w:val="DC16BBEA"/>
    <w:lvl w:ilvl="0" w:tplc="7FDE099A">
      <w:start w:val="1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9A6A49"/>
    <w:multiLevelType w:val="hybridMultilevel"/>
    <w:tmpl w:val="D67E3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56045C"/>
    <w:multiLevelType w:val="hybridMultilevel"/>
    <w:tmpl w:val="E85CD728"/>
    <w:lvl w:ilvl="0" w:tplc="D0387D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E16FA6"/>
    <w:multiLevelType w:val="hybridMultilevel"/>
    <w:tmpl w:val="CB980662"/>
    <w:lvl w:ilvl="0" w:tplc="65A0166E">
      <w:start w:val="1"/>
      <w:numFmt w:val="upperRoman"/>
      <w:lvlText w:val="%1."/>
      <w:lvlJc w:val="left"/>
      <w:pPr>
        <w:ind w:left="1555" w:hanging="720"/>
      </w:pPr>
      <w:rPr>
        <w:rFonts w:hint="default"/>
      </w:rPr>
    </w:lvl>
    <w:lvl w:ilvl="1" w:tplc="04090019">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12">
    <w:nsid w:val="520F4855"/>
    <w:multiLevelType w:val="hybridMultilevel"/>
    <w:tmpl w:val="6F2C6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692412"/>
    <w:multiLevelType w:val="hybridMultilevel"/>
    <w:tmpl w:val="A6CC50A6"/>
    <w:lvl w:ilvl="0" w:tplc="B92C5F26">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693DA1"/>
    <w:multiLevelType w:val="hybridMultilevel"/>
    <w:tmpl w:val="1BFA8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364F67"/>
    <w:multiLevelType w:val="hybridMultilevel"/>
    <w:tmpl w:val="D49C1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55B0416"/>
    <w:multiLevelType w:val="hybridMultilevel"/>
    <w:tmpl w:val="5E9E3570"/>
    <w:lvl w:ilvl="0" w:tplc="6058A78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9"/>
  </w:num>
  <w:num w:numId="3">
    <w:abstractNumId w:val="8"/>
  </w:num>
  <w:num w:numId="4">
    <w:abstractNumId w:val="5"/>
  </w:num>
  <w:num w:numId="5">
    <w:abstractNumId w:val="13"/>
  </w:num>
  <w:num w:numId="6">
    <w:abstractNumId w:val="1"/>
  </w:num>
  <w:num w:numId="7">
    <w:abstractNumId w:val="2"/>
  </w:num>
  <w:num w:numId="8">
    <w:abstractNumId w:val="4"/>
  </w:num>
  <w:num w:numId="9">
    <w:abstractNumId w:val="3"/>
  </w:num>
  <w:num w:numId="10">
    <w:abstractNumId w:val="15"/>
  </w:num>
  <w:num w:numId="11">
    <w:abstractNumId w:val="12"/>
  </w:num>
  <w:num w:numId="12">
    <w:abstractNumId w:val="14"/>
  </w:num>
  <w:num w:numId="13">
    <w:abstractNumId w:val="7"/>
  </w:num>
  <w:num w:numId="14">
    <w:abstractNumId w:val="11"/>
  </w:num>
  <w:num w:numId="15">
    <w:abstractNumId w:val="6"/>
  </w:num>
  <w:num w:numId="16">
    <w:abstractNumId w:val="10"/>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CITRUS_CORRECTED_CITE" w:val="17 U.S.C. § 101"/>
    <w:docVar w:name="_CITRUS_JURISDICTION" w:val="Bluebook"/>
    <w:docVar w:name="CITRUS_BOOKMARK1000000001[0]" w:val="17 U.S.C. §§ 101 et seq"/>
    <w:docVar w:name="CITRUS_BOOKMARK1000000002[0]" w:val="17 U.S.C. §§ 101 et seq"/>
    <w:docVar w:name="CITRUS_BOOKMARK1000000003[0]" w:val="28 U.S.C. § 1338(a). (Compl. ¶1.)"/>
    <w:docVar w:name="CITRUS_BOOKMARK1000000004[0]" w:val="Id"/>
    <w:docVar w:name="CITRUS_BOOKMARK1000000005[0]" w:val="Id"/>
    <w:docVar w:name="CITRUS_BOOKMARK1000000006[0]" w:val="Id"/>
    <w:docVar w:name="CITRUS_BOOKMARK1000000007[0]" w:val="Id"/>
    <w:docVar w:name="CITRUS_BOOKMARK1000000008[0]" w:val="Id"/>
    <w:docVar w:name="CITRUS_BOOKMARK1000000009[0]" w:val="Id"/>
    <w:docVar w:name="CITRUS_BOOKMARK1000000010[0]" w:val="Id"/>
    <w:docVar w:name="CITRUS_BOOKMARK1000000011[0]" w:val="Id"/>
    <w:docVar w:name="CITRUS_BOOKMARK1000000012[0]" w:val="Id"/>
    <w:docVar w:name="CITRUS_BOOKMARK1000000013[0]" w:val="Id"/>
    <w:docVar w:name="CITRUS_BOOKMARK1000000014[0]" w:val="Id"/>
    <w:docVar w:name="CITRUS_BOOKMARK1000000015[0]" w:val="Id"/>
    <w:docVar w:name="CITRUS_BOOKMARK1000000016[0]" w:val="Id"/>
    <w:docVar w:name="CITRUS_BOOKMARK1000000017[0]" w:val="Id"/>
    <w:docVar w:name="CITRUS_BOOKMARK1000000018[0]" w:val="Id"/>
    <w:docVar w:name="CITRUS_BOOKMARK1000000019[0]" w:val="Id"/>
    <w:docVar w:name="CITRUS_BOOKMARK1000000020[0]" w:val="Id"/>
    <w:docVar w:name="CITRUS_BOOKMARK1000000021[0]" w:val="Id"/>
    <w:docVar w:name="CITRUS_BOOKMARK1000000022[0]" w:val="Id"/>
    <w:docVar w:name="CITRUS_BOOKMARK1000000023[0]" w:val="Id"/>
    <w:docVar w:name="CITRUS_BOOKMARK1000000024[0]" w:val="Id"/>
    <w:docVar w:name="CITRUS_BOOKMARK1000000025[0]" w:val="Id"/>
    <w:docVar w:name="CITRUS_BOOKMARK1000000026[0]" w:val="Id"/>
    <w:docVar w:name="CITRUS_BOOKMARK1000000030[0]" w:val="17 U.S.C. §101"/>
    <w:docVar w:name="CITRUS_BOOKMARK1000000031[0]" w:val="17 U.S.C. § 101 (1)"/>
    <w:docVar w:name="CITRUS_BOOKMARK1000000032[0]" w:val="17 U.S.C. § 101 (2)"/>
    <w:docVar w:name="CITRUS_BOOKMARK1000000033[0]" w:val="17 U.S.C.  § 101"/>
    <w:docVar w:name="CITRUS_BOOKMARK1000000034[0]" w:val="17 USCS § 201"/>
    <w:docVar w:name="CITRUS_BOOKMARK1000000041[0]" w:val="17 U.S.C. §101(2)"/>
    <w:docVar w:name="CITRUS_BOOKMARK1000000050[0]" w:val="17 U.S.C"/>
    <w:docVar w:name="CITRUS_BOOKMARK1000000063[0]" w:val="§ 15.03(g)"/>
    <w:docVar w:name="CITRUS_BOOKMARK1000000064[0]" w:val="David &amp; Melville Nimmer, Nimmer on Copyright § 5"/>
    <w:docVar w:name="CITRUS_BOOKMARK1000000070[0]" w:val="Id"/>
    <w:docVar w:name="CITRUS_BOOKMARK1000000071[0]" w:val="Id"/>
    <w:docVar w:name="CITRUS_BOOKMARK1000000074[0]" w:val="Id"/>
    <w:docVar w:name="CITRUS_BOOKMARK1000000075[0]" w:val="Id"/>
    <w:docVar w:name="CITRUS_BOOKMARK1000000076[0]" w:val="Id"/>
    <w:docVar w:name="CITRUS_BOOKMARK1000000077[0]" w:val="Id"/>
    <w:docVar w:name="CITRUS_BOOKMARK27[0]" w:val="&lt;#1&gt;&lt;citation&gt;&lt;citation._original_string&gt;Fed. R. Civ. P. 8(a)(2)&lt;/citation._original_string&gt;&lt;citation._current_string&gt;Fed. R. Civ. P. 8(a)(2)&lt;/citation._current_string&gt;&lt;citation._full_string&gt;Fed. R. Civ. P. 8(a)(2)&lt;/citation._full_string&gt;&lt;citation._current_format&gt;Full.ProceduralRule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ProcRules&lt;/citation.key3&gt;&lt;citation.value3&gt;Fed. R. Civ. P. &lt;/citation.value3&gt;&lt;citation.key4&gt;ProcRules.Civil&lt;/citation.key4&gt;&lt;citation.value4&gt;Civ.&lt;/citation.value4&gt;&lt;citation.key5&gt;ProcRules.Federal&lt;/citation.key5&gt;&lt;citation.value5&gt;Fed.&lt;/citation.value5&gt;&lt;citation.key6&gt;ProcRules.Procedure&lt;/citation.key6&gt;&lt;citation.value6&gt;P&lt;/citation.value6&gt;&lt;citation.key7&gt;ProcRules.Rules&lt;/citation.key7&gt;&lt;citation.value7&gt;R.&lt;/citation.value7&gt;&lt;citation.key8&gt;ProcRules._Pattern&lt;/citation.key8&gt;&lt;citation.value8&gt;ProcRules.ProcRules&lt;/citation.value8&gt;&lt;citation.key9&gt;__RuleNumberList&lt;/citation.key9&gt;&lt;citation.value9&gt;8(a)(2) &lt;/citation.value9&gt;&lt;citation.key10&gt;__RuleNumberList._Pattern&lt;/citation.key10&gt;&lt;citation.value10&gt;RuleNumberList.RuleNumberList&lt;/citation.value10&gt;&lt;citation.key11&gt;__RuleNumberList.__RuleNumber&lt;/citation.key11&gt;&lt;citation.value11&gt;8(a)(2)&lt;/citation.value11&gt;&lt;citation.key12&gt;__RuleNumberList.rule&lt;/citation.key12&gt;&lt;citation.value12&gt;rule&lt;/citation.value12&gt;&lt;/citation&gt;_x000a_"/>
    <w:docVar w:name="CITRUS_BOOKMARK28[0]" w:val="&lt;#1&gt;&lt;citation&gt;&lt;citation._original_string&gt;Fed. R. Civ. P. 12(b)(6)&lt;/citation._original_string&gt;&lt;citation._current_string&gt;Fed. R. Civ. P. 12(b)(6)&lt;/citation._current_string&gt;&lt;citation._full_string&gt;Fed. R. Civ. P. 12(b)(6)&lt;/citation._full_string&gt;&lt;citation._current_format&gt;Short.ShortProceduralRule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ProcRules&lt;/citation.key3&gt;&lt;citation.value3&gt;Fed. R. Civ. P. &lt;/citation.value3&gt;&lt;citation.key4&gt;ProcRules.Civil&lt;/citation.key4&gt;&lt;citation.value4&gt;Civ.&lt;/citation.value4&gt;&lt;citation.key5&gt;ProcRules.Federal&lt;/citation.key5&gt;&lt;citation.value5&gt;Fed.&lt;/citation.value5&gt;&lt;citation.key6&gt;ProcRules.Procedure&lt;/citation.key6&gt;&lt;citation.value6&gt;P&lt;/citation.value6&gt;&lt;citation.key7&gt;ProcRules.Rules&lt;/citation.key7&gt;&lt;citation.value7&gt;R.&lt;/citation.value7&gt;&lt;citation.key8&gt;ProcRules._Pattern&lt;/citation.key8&gt;&lt;citation.value8&gt;ProcRules.ProcRules&lt;/citation.value8&gt;&lt;citation.key9&gt;__RuleNumberList&lt;/citation.key9&gt;&lt;citation.value9&gt;12(b)(6) &lt;/citation.value9&gt;&lt;citation.key10&gt;__RuleNumberList._Pattern&lt;/citation.key10&gt;&lt;citation.value10&gt;RuleNumberList.RuleNumberList&lt;/citation.value10&gt;&lt;citation.key11&gt;__RuleNumberList.__RuleNumber&lt;/citation.key11&gt;&lt;citation.value11&gt;12(b)(6)&lt;/citation.value11&gt;&lt;citation.key12&gt;__RuleNumberList.rule&lt;/citation.key12&gt;&lt;citation.value12&gt;rule&lt;/citation.value12&gt;&lt;/citation&gt;_x000a_"/>
    <w:docVar w:name="CITRUS_BOOKMARK29[0]" w:val="&lt;#1&gt;&lt;citation&gt;&lt;citation._original_string&gt;Ashcroft v. Iqbal  556 U.S. 662, 1940 (2009)&lt;/citation._original_string&gt;&lt;citation._current_string&gt;Ashcroft v. Iqbal, 556 U.S. 662, 1940 (2009)&lt;/citation._current_string&gt;&lt;citation._full_string&gt;Ashcroft v. Iqbal, 556 U.S. 662, 1940 (2009)&lt;/citation._full_string&gt;&lt;citation._current_format&gt;Full.CaseCitation&lt;/citation._current_format&gt;&lt;citation.name&gt;&lt;/citation.name&gt;&lt;citation.key0&gt;CaseName.FirstParty.Party&lt;/citation.key0&gt;&lt;citation.value0&gt;Ashcroft&lt;/citation.value0&gt;&lt;citation.key1&gt;CaseName.FirstParty._Pattern&lt;/citation.key1&gt;&lt;citation.value1&gt;Party.Party&lt;/citation.value1&gt;&lt;citation.key2&gt;CaseName.SecondParty.Party&lt;/citation.key2&gt;&lt;citation.value2&gt;Iqbal&lt;/citation.value2&gt;&lt;citation.key3&gt;CaseName.SecondParty._Pattern&lt;/citation.key3&gt;&lt;citation.value3&gt;Party.Party&lt;/citation.value3&gt;&lt;citation.key4&gt;CourtParenthetical&lt;/citation.key4&gt;&lt;citation.value4&gt; (2009) &lt;/citation.value4&gt;&lt;citation.key5&gt;CourtParenthetical.Date.Year.Year&lt;/citation.key5&gt;&lt;citation.value5&gt;2009&lt;/citation.value5&gt;&lt;citation.key6&gt;CourtParenthetical.Date.Year._Pattern&lt;/citation.key6&gt;&lt;citation.value6&gt;CourtParenthetical.Date.Year.Year&lt;/citation.value6&gt;&lt;citation.key7&gt;CourtParenthetical.Date._Pattern&lt;/citation.key7&gt;&lt;citation.value7&gt;CourtParenthetical.Date.Date&lt;/citation.value7&gt;&lt;citation.key8&gt;CourtParenthetical.ForbiddenComma._Pattern&lt;/citation.key8&gt;&lt;citation.value8&gt;ForbiddenComma.ForbiddenComma&lt;/citation.value8&gt;&lt;citation.key9&gt;CourtParenthetical.Switch ( [ L&lt;/citation.key9&gt;&lt;citation.value9&gt; (&lt;/citation.value9&gt;&lt;citation.key10&gt;CourtParenthetical.Switch ( [ L.(&lt;/citation.key10&gt;&lt;citation.value10&gt;(&lt;/citation.value10&gt;&lt;citation.key11&gt;CourtParenthetical.Switch ( [ L._Pattern&lt;/citation.key11&gt;&lt;citation.value11&gt;Switch ( [ L.Switch ( [ L&lt;/citation.value11&gt;&lt;citation.key12&gt;CourtParenthetical.Switch ) ] R&lt;/citation.key12&gt;&lt;citation.value12&gt;) &lt;/citation.value12&gt;&lt;citation.key13&gt;CourtParenthetical.Switch ) ] R.)&lt;/citation.key13&gt;&lt;citation.value13&gt;)&lt;/citation.value13&gt;&lt;citation.key14&gt;CourtParenthetical.Switch ) ] R._Pattern&lt;/citation.key14&gt;&lt;citation.value14&gt;Switch ) ] R.Switch ) ] R&lt;/citation.value14&gt;&lt;citation.key15&gt;CourtParenthetical._Pattern&lt;/citation.key15&gt;&lt;citation.value15&gt;CourtParenthetical.CourtParenthetical&lt;/citation.value15&gt;&lt;citation.key16&gt;FirstParty&lt;/citation.key16&gt;&lt;citation.value16&gt;Ashcroft &lt;/citation.value16&gt;&lt;citation.key17&gt;Id&lt;/citation.key17&gt;&lt;citation.value17&gt;Id. &lt;/citation.value17&gt;&lt;citation.key18&gt;Id.Id&lt;/citation.key18&gt;&lt;citation.value18&gt;Id.&lt;/citation.value18&gt;&lt;citation.key19&gt;Id._Pattern&lt;/citation.key19&gt;&lt;citation.value19&gt;IdGraph.IdGraph&lt;/citation.value19&gt;&lt;citation.key20&gt;NY L Paren&lt;/citation.key20&gt;&lt;citation.value20&gt;(&lt;/citation.value20&gt;&lt;citation.key21&gt;NY R Paren&lt;/citation.key21&gt;&lt;citation.value21&gt;)&lt;/citation.value21&gt;&lt;citation.key22&gt;Reporter&lt;/citation.key22&gt;&lt;citation.value22&gt;556 U.S. 662, 1940&lt;/citation.value22&gt;&lt;citation.key23&gt;Reporter.FirstPage&lt;/citation.key23&gt;&lt;citation.value23&gt;662&lt;/citation.value23&gt;&lt;citation.key24&gt;Reporter.Name&lt;/citation.key24&gt;&lt;citation.value24&gt;U.S.&lt;/citation.value24&gt;&lt;citation.key25&gt;Reporter.RequiredComma&lt;/citation.key25&gt;&lt;citation.value25&gt;, &lt;/citation.value25&gt;&lt;citation.key26&gt;Reporter.RequiredComma.Comma&lt;/citation.key26&gt;&lt;citation.value26&gt;,&lt;/citation.value26&gt;&lt;citation.key27&gt;Reporter.RequiredComma._Pattern&lt;/citation.key27&gt;&lt;citation.value27&gt;RequiredComma.RequiredComma&lt;/citation.value27&gt;&lt;citation.key28&gt;Reporter.Volume&lt;/citation.key28&gt;&lt;citation.value28&gt;556&lt;/citation.value28&gt;&lt;citation.key29&gt;Reporter.[&lt;/citation.key29&gt;&lt;citation.value29&gt;[&lt;/citation.value29&gt;&lt;citation.key30&gt;Reporter.]&lt;/citation.key30&gt;&lt;citation.value30&gt;]&lt;/citation.value30&gt;&lt;citation.key31&gt;Reporter._Pattern&lt;/citation.key31&gt;&lt;citation.value31&gt;Reporter.Reporter&lt;/citation.value31&gt;&lt;citation.key32&gt;Reporter.__PinPages&lt;/citation.key32&gt;&lt;citation.value32&gt;1940&lt;/citation.value32&gt;&lt;citation.key33&gt;Reporter.__PinPages.First&lt;/citation.key33&gt;&lt;citation.value33&gt;1940&lt;/citation.value33&gt;&lt;citation.key34&gt;Reporter.__PinPages.First._Pattern&lt;/citation.key34&gt;&lt;citation.value34&gt;FirstPageInRange.FirstPageInRange&lt;/citation.value34&gt;&lt;citation.key35&gt;Reporter.__PinPages.First.__PageNumber&lt;/citation.key35&gt;&lt;citation.value35&gt;1940&lt;/citation.value35&gt;&lt;citation.key36&gt;Reporter.__PinPages._Pattern&lt;/citation.key36&gt;&lt;citation.value36&gt;PinPages.PinPages&lt;/citation.value36&gt;&lt;citation.key37&gt;Reporter.page&lt;/citation.key37&gt;&lt;citation.value37&gt;page&lt;/citation.value37&gt;&lt;citation.key38&gt;RequiredComma&lt;/citation.key38&gt;&lt;citation.value38&gt;, &lt;/citation.value38&gt;&lt;citation.key39&gt;RequiredComma._Pattern&lt;/citation.key39&gt;&lt;citation.value39&gt;RequiredComma.RequiredComma&lt;/citation.value39&gt;&lt;citation.key40&gt;SecondParty&lt;/citation.key40&gt;&lt;citation.value40&gt;Iqbal &lt;/citation.value40&gt;&lt;citation.key41&gt;supra&lt;/citation.key41&gt;&lt;citation.value41&gt;&lt;/citation.value41&gt;&lt;citation.key42&gt;supra.,&lt;/citation.key42&gt;&lt;citation.value42&gt;, &lt;/citation.value42&gt;&lt;citation.key43&gt;supra._Pattern&lt;/citation.key43&gt;&lt;citation.value43&gt;ShortCaseSupra.ShortCaseSupra&lt;/citation.value43&gt;&lt;citation.key44&gt;supra.supra&lt;/citation.key44&gt;&lt;citation.value44&gt;supra&lt;/citation.value44&gt;&lt;citation.key45&gt;v&lt;/citation.key45&gt;&lt;citation.value45&gt;v.&lt;/citation.value45&gt;&lt;/citation&gt;_x000a_"/>
    <w:docVar w:name="CITRUS_BOOKMARK35[0]" w:val="&lt;#1&gt;&lt;citation&gt;&lt;citation._original_string&gt;25 for Creative Non-Violence v. Reid, 490 U.S. 730, 737 (1989)&lt;/citation._original_string&gt;&lt;citation._current_string&gt;Cmty. for Creative Non-Violence v. Reid, 490 U.S. 730, 737 (1989)&lt;/citation._current_string&gt;&lt;citation._full_string&gt;Cmty. for Creative Non-Violence v. Reid, 490 U.S. 730, 737 (1989)&lt;/citation._full_string&gt;&lt;citation._current_format&gt;Full.CaseCitation&lt;/citation._current_format&gt;&lt;citation.name&gt;&lt;/citation.name&gt;&lt;citation.key0&gt;,&lt;/citation.key0&gt;&lt;citation.value0&gt;,&lt;/citation.value0&gt;&lt;citation.key1&gt;CaseName.FirstParty.Party&lt;/citation.key1&gt;&lt;citation.value1&gt;Community for Creative Non-Violence&lt;/citation.value1&gt;&lt;citation.key2&gt;CaseName.FirstParty._Pattern&lt;/citation.key2&gt;&lt;citation.value2&gt;Party.Party&lt;/citation.value2&gt;&lt;citation.key3&gt;CaseName.SecondParty.Party&lt;/citation.key3&gt;&lt;citation.value3&gt;Reid&lt;/citation.value3&gt;&lt;citation.key4&gt;CaseName.SecondParty._Pattern&lt;/citation.key4&gt;&lt;citation.value4&gt;Party.Party&lt;/citation.value4&gt;&lt;citation.key5&gt;CourtParenthetical&lt;/citation.key5&gt;&lt;citation.value5&gt; (1989) &lt;/citation.value5&gt;&lt;citation.key6&gt;CourtParenthetical.Date.Year.Year&lt;/citation.key6&gt;&lt;citation.value6&gt;1989&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Cmty. for Creative Non-Violence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90 U.S. 730, 737&lt;/citation.value23&gt;&lt;citation.key24&gt;Reporter.FirstPage&lt;/citation.key24&gt;&lt;citation.value24&gt;730&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90&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737&lt;/citation.value33&gt;&lt;citation.key34&gt;Reporter.__PinPages.First&lt;/citation.key34&gt;&lt;citation.value34&gt;737&lt;/citation.value34&gt;&lt;citation.key35&gt;Reporter.__PinPages.First._Pattern&lt;/citation.key35&gt;&lt;citation.value35&gt;FirstPageInRange.FirstPageInRange&lt;/citation.value35&gt;&lt;citation.key36&gt;Reporter.__PinPages.First.__PageNumber&lt;/citation.key36&gt;&lt;citation.value36&gt;737&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Reid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36[0]" w:val="&lt;#1&gt;&lt;citation&gt;&lt;citation._original_string&gt;17 U.S.C. § 201(b) (2006)&lt;/citation._original_string&gt;&lt;citation._current_string&gt;17 U.S.C. § 201(b) (2006)&lt;/citation._current_string&gt;&lt;citation._full_string&gt;17 U.S.C. §201(b) (2006)&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201(b)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1(b)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1(b) &lt;/citation.value13&gt;&lt;citation.key14&gt;USCCodeCitation.__SectionOrSections.SectionNumberList.SectionNumberScalarOrRange&lt;/citation.key14&gt;&lt;citation.value14&gt;201(b) &lt;/citation.value14&gt;&lt;citation.key15&gt;USCCodeCitation.__SectionOrSections.SectionNumberList.SectionNumberScalarOrRange.SectionNumber&lt;/citation.key15&gt;&lt;citation.value15&gt;201(b)&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 (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 &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 &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37[0]" w:val="&lt;#1&gt;&lt;citation&gt;&lt;citation._original_string&gt;Playboy Entm’t, Inc. v. Dumas, 53 F.3d 549, 554 (2d Cir. 1995)&lt;/citation._original_string&gt;&lt;citation._current_string&gt;Playboy Enters. v. Dumas, 53 F.3d 549, 554 (2d Cir. 1995)&lt;/citation._current_string&gt;&lt;citation._full_string&gt;Playboy Enters. v. Dumas, 53 F.3d 549, 554 (2d Cir. 1995)&lt;/citation._full_string&gt;&lt;citation._current_format&gt;Full.CaseCitation&lt;/citation._current_format&gt;&lt;citation.name&gt;&lt;/citation.name&gt;&lt;citation.key0&gt;,&lt;/citation.key0&gt;&lt;citation.value0&gt;,&lt;/citation.value0&gt;&lt;citation.key1&gt;CaseName.FirstParty&lt;/citation.key1&gt;&lt;citation.value1&gt;Playboy Enters.&lt;/citation.value1&gt;&lt;citation.key2&gt;CaseName.FirstParty.Party&lt;/citation.key2&gt;&lt;citation.value2&gt;Playboy Enters.&lt;/citation.value2&gt;&lt;citation.key3&gt;CaseName.FirstParty._Pattern&lt;/citation.key3&gt;&lt;citation.value3&gt;Party.Party&lt;/citation.value3&gt;&lt;citation.key4&gt;CaseName.SecondParty&lt;/citation.key4&gt;&lt;citation.value4&gt;Dumas&lt;/citation.value4&gt;&lt;citation.key5&gt;CaseName.SecondParty.Party&lt;/citation.key5&gt;&lt;citation.value5&gt;Dumas&lt;/citation.value5&gt;&lt;citation.key6&gt;CaseName.SecondParty._Pattern&lt;/citation.key6&gt;&lt;citation.value6&gt;Party.Party&lt;/citation.value6&gt;&lt;citation.key7&gt;CaseName._Pattern&lt;/citation.key7&gt;&lt;citation.value7&gt;&lt;/citation.value7&gt;&lt;citation.key8&gt;CourtParenthetical&lt;/citation.key8&gt;&lt;citation.value8&gt; (2d Cir. 1995) &lt;/citation.value8&gt;&lt;citation.key9&gt;CourtParenthetical.CourtName&lt;/citation.key9&gt;&lt;citation.value9&gt;2d Cir. &lt;/citation.value9&gt;&lt;citation.key10&gt;CourtParenthetical.CourtName.CourtName&lt;/citation.key10&gt;&lt;citation.value10&gt;2d Cir.&lt;/citation.value10&gt;&lt;citation.key11&gt;CourtParenthetical.CourtName._Pattern&lt;/citation.key11&gt;&lt;citation.value11&gt;CourtName.CourtName&lt;/citation.value11&gt;&lt;citation.key12&gt;CourtParenthetical.Date.Year&lt;/citation.key12&gt;&lt;citation.value12&gt;1995&lt;/citation.value12&gt;&lt;citation.key13&gt;CourtParenthetical.Date.Year.Year&lt;/citation.key13&gt;&lt;citation.value13&gt;199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3 F.3d 549, 554&lt;/citation.value30&gt;&lt;citation.key31&gt;Reporter.FirstPage&lt;/citation.key31&gt;&lt;citation.value31&gt;549&lt;/citation.value31&gt;&lt;citation.key32&gt;Reporter.Name&lt;/citation.key32&gt;&lt;citation.value32&gt;F.3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3&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554&lt;/citation.value40&gt;&lt;citation.key41&gt;Reporter.__PinPages.First&lt;/citation.key41&gt;&lt;citation.value41&gt;554&lt;/citation.value41&gt;&lt;citation.key42&gt;Reporter.__PinPages.First._Pattern&lt;/citation.key42&gt;&lt;citation.value42&gt;FirstPageInRange.FirstPageInRange&lt;/citation.value42&gt;&lt;citation.key43&gt;Reporter.__PinPages.First.__PageNumber&lt;/citation.key43&gt;&lt;citation.value43&gt;554&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38[0]" w:val="&lt;#1&gt;&lt;citation&gt;&lt;citation._original_string&gt;Connecticut Nat'l Bank v. Germain, 112 S. Ct. 1146, 1149 (1992)&lt;/citation._original_string&gt;&lt;citation._current_string&gt;Conn. Nat'l Bank v. Germain, 112 S. Ct. 1146, 1149 (1992)&lt;/citation._current_string&gt;&lt;citation._full_string&gt;Conn. Nat'l Bank v. Germain, 112 S. Ct. 1146, 1149 (1992)&lt;/citation._full_string&gt;&lt;citation._current_format&gt;Full.CaseCitation&lt;/citation._current_format&gt;&lt;citation.name&gt;&lt;/citation.name&gt;&lt;citation.key0&gt;,&lt;/citation.key0&gt;&lt;citation.value0&gt;,&lt;/citation.value0&gt;&lt;citation.key1&gt;CaseName.FirstParty&lt;/citation.key1&gt;&lt;citation.value1&gt;Connecticut Nat'l Bank&lt;/citation.value1&gt;&lt;citation.key2&gt;CaseName.FirstParty.Party&lt;/citation.key2&gt;&lt;citation.value2&gt;Connecticut Nat'l Bank&lt;/citation.value2&gt;&lt;citation.key3&gt;CaseName.FirstParty._Pattern&lt;/citation.key3&gt;&lt;citation.value3&gt;Party.Party&lt;/citation.value3&gt;&lt;citation.key4&gt;CaseName.SecondParty&lt;/citation.key4&gt;&lt;citation.value4&gt;Germain&lt;/citation.value4&gt;&lt;citation.key5&gt;CaseName.SecondParty.Party&lt;/citation.key5&gt;&lt;citation.value5&gt;Germain&lt;/citation.value5&gt;&lt;citation.key6&gt;CaseName.SecondParty._Pattern&lt;/citation.key6&gt;&lt;citation.value6&gt;Party.Party&lt;/citation.value6&gt;&lt;citation.key7&gt;CaseName._Pattern&lt;/citation.key7&gt;&lt;citation.value7&gt;&lt;/citation.value7&gt;&lt;citation.key8&gt;CourtParenthetical&lt;/citation.key8&gt;&lt;citation.value8&gt; (1992) &lt;/citation.value8&gt;&lt;citation.key9&gt;CourtParenthetical.Date.Year&lt;/citation.key9&gt;&lt;citation.value9&gt;1992&lt;/citation.value9&gt;&lt;citation.key10&gt;CourtParenthetical.Date.Year.Year&lt;/citation.key10&gt;&lt;citation.value10&gt;1992&lt;/citation.value10&gt;&lt;citation.key11&gt;CourtParenthetical.Date.Year._Pattern&lt;/citation.key11&gt;&lt;citation.value11&gt;CourtParenthetical.Date.Year.Year&lt;/citation.value11&gt;&lt;citation.key12&gt;CourtParenthetical.Date._Pattern&lt;/citation.key12&gt;&lt;citation.value12&gt;CourtParenthetical.Date.Date&lt;/citation.value12&gt;&lt;citation.key13&gt;CourtParenthetical.ForbiddenComma._Pattern&lt;/citation.key13&gt;&lt;citation.value13&gt;ForbiddenComma.ForbiddenComma&lt;/citation.value13&gt;&lt;citation.key14&gt;CourtParenthetical.Switch ( [ L&lt;/citation.key14&gt;&lt;citation.value14&gt; (&lt;/citation.value14&gt;&lt;citation.key15&gt;CourtParenthetical.Switch ( [ L.(&lt;/citation.key15&gt;&lt;citation.value15&gt;(&lt;/citation.value15&gt;&lt;citation.key16&gt;CourtParenthetical.Switch ( [ L._Pattern&lt;/citation.key16&gt;&lt;citation.value16&gt;Switch ( [ L.Switch ( [ L&lt;/citation.value16&gt;&lt;citation.key17&gt;CourtParenthetical.Switch ) ] R&lt;/citation.key17&gt;&lt;citation.value17&gt;) &lt;/citation.value17&gt;&lt;citation.key18&gt;CourtParenthetical.Switch ) ] R.)&lt;/citation.key18&gt;&lt;citation.value18&gt;)&lt;/citation.value18&gt;&lt;citation.key19&gt;CourtParenthetical.Switch ) ] R._Pattern&lt;/citation.key19&gt;&lt;citation.value19&gt;Switch ) ] R.Switch ) ] R&lt;/citation.value19&gt;&lt;citation.key20&gt;CourtParenthetical._Pattern&lt;/citation.key20&gt;&lt;citation.value20&gt;CourtParenthetical.CourtParenthetical&lt;/citation.value20&gt;&lt;citation.key21&gt;HAS_AUTHORITATIVE_DATA&lt;/citation.key21&gt;&lt;citation.value21&gt;YES&lt;/citation.value21&gt;&lt;citation.key22&gt;Id&lt;/citation.key22&gt;&lt;citation.value22&gt;Id. &lt;/citation.value22&gt;&lt;citation.key23&gt;Id.Id&lt;/citation.key23&gt;&lt;citation.value23&gt;Id.&lt;/citation.value23&gt;&lt;citation.key24&gt;Id._Pattern&lt;/citation.key24&gt;&lt;citation.value24&gt;IdGraph.IdGraph&lt;/citation.value24&gt;&lt;citation.key25&gt;NY L Paren&lt;/citation.key25&gt;&lt;citation.value25&gt;(&lt;/citation.value25&gt;&lt;citation.key26&gt;NY R Paren&lt;/citation.key26&gt;&lt;citation.value26&gt;)&lt;/citation.value26&gt;&lt;citation.key27&gt;Reporter&lt;/citation.key27&gt;&lt;citation.value27&gt;112 S. Ct. 1146, 1149&lt;/citation.value27&gt;&lt;citation.key28&gt;Reporter.FirstPage&lt;/citation.key28&gt;&lt;citation.value28&gt;1146&lt;/citation.value28&gt;&lt;citation.key29&gt;Reporter.Name&lt;/citation.key29&gt;&lt;citation.value29&gt;S. Ct.&lt;/citation.value29&gt;&lt;citation.key30&gt;Reporter.RequiredComma&lt;/citation.key30&gt;&lt;citation.value30&gt;, &lt;/citation.value30&gt;&lt;citation.key31&gt;Reporter.RequiredComma.Comma&lt;/citation.key31&gt;&lt;citation.value31&gt;,&lt;/citation.value31&gt;&lt;citation.key32&gt;Reporter.RequiredComma._Pattern&lt;/citation.key32&gt;&lt;citation.value32&gt;RequiredComma.RequiredComma&lt;/citation.value32&gt;&lt;citation.key33&gt;Reporter.Volume&lt;/citation.key33&gt;&lt;citation.value33&gt;112&lt;/citation.value33&gt;&lt;citation.key34&gt;Reporter.[&lt;/citation.key34&gt;&lt;citation.value34&gt;[&lt;/citation.value34&gt;&lt;citation.key35&gt;Reporter.]&lt;/citation.key35&gt;&lt;citation.value35&gt;]&lt;/citation.value35&gt;&lt;citation.key36&gt;Reporter._Pattern&lt;/citation.key36&gt;&lt;citation.value36&gt;Reporter.Reporter&lt;/citation.value36&gt;&lt;citation.key37&gt;Reporter.__PinPages&lt;/citation.key37&gt;&lt;citation.value37&gt;1149&lt;/citation.value37&gt;&lt;citation.key38&gt;Reporter.__PinPages.First&lt;/citation.key38&gt;&lt;citation.value38&gt;1149&lt;/citation.value38&gt;&lt;citation.key39&gt;Reporter.__PinPages.First._Pattern&lt;/citation.key39&gt;&lt;citation.value39&gt;FirstPageInRange.FirstPageInRange&lt;/citation.value39&gt;&lt;citation.key40&gt;Reporter.__PinPages.First.__PageNumber&lt;/citation.key40&gt;&lt;citation.value40&gt;1149&lt;/citation.value40&gt;&lt;citation.key41&gt;Reporter.__PinPages._Pattern&lt;/citation.key41&gt;&lt;citation.value41&gt;PinPages.PinPages&lt;/citation.value41&gt;&lt;citation.key42&gt;Reporter.page&lt;/citation.key42&gt;&lt;citation.value42&gt;page&lt;/citation.value42&gt;&lt;citation.key43&gt;RequiredComma&lt;/citation.key43&gt;&lt;citation.value43&gt;, &lt;/citation.value43&gt;&lt;citation.key44&gt;RequiredComma._Pattern&lt;/citation.key44&gt;&lt;citation.value44&gt;RequiredComma.RequiredComma&lt;/citation.value44&gt;&lt;citation.key45&gt;supra&lt;/citation.key45&gt;&lt;citation.value45&gt;&lt;/citation.value45&gt;&lt;citation.key46&gt;supra.,&lt;/citation.key46&gt;&lt;citation.value46&gt;, &lt;/citation.value46&gt;&lt;citation.key47&gt;supra._Pattern&lt;/citation.key47&gt;&lt;citation.value47&gt;ShortCaseSupra.ShortCaseSupra&lt;/citation.value47&gt;&lt;citation.key48&gt;supra.supra&lt;/citation.key48&gt;&lt;citation.value48&gt;supra&lt;/citation.value48&gt;&lt;/citation&gt;_x000a_"/>
    <w:docVar w:name="CITRUS_BOOKMARK39[0]" w:val="&lt;#1&gt;&lt;citation&gt;&lt;citation._original_string&gt;Perrin v. U.S., 444 U.S. 37, 42 (1979)&lt;/citation._original_string&gt;&lt;citation._current_string&gt;Perrin v. United States, 444 U.S. 37, 42 (1979)&lt;/citation._current_string&gt;&lt;citation._full_string&gt;Perrin v. United States, 444 U.S. 37, 42 (1979)&lt;/citation._full_string&gt;&lt;citation._current_format&gt;Full.CaseCitation&lt;/citation._current_format&gt;&lt;citation.name&gt;&lt;/citation.name&gt;&lt;citation.key0&gt;,&lt;/citation.key0&gt;&lt;citation.value0&gt;,&lt;/citation.value0&gt;&lt;citation.key1&gt;CaseName.FirstParty.Party&lt;/citation.key1&gt;&lt;citation.value1&gt;Perrin&lt;/citation.value1&gt;&lt;citation.key2&gt;CaseName.FirstParty._Pattern&lt;/citation.key2&gt;&lt;citation.value2&gt;Party.Party&lt;/citation.value2&gt;&lt;citation.key3&gt;CaseName.SecondParty.Party&lt;/citation.key3&gt;&lt;citation.value3&gt;United States&lt;/citation.value3&gt;&lt;citation.key4&gt;CaseName.SecondParty._Pattern&lt;/citation.key4&gt;&lt;citation.value4&gt;Party.Party&lt;/citation.value4&gt;&lt;citation.key5&gt;CourtParenthetical&lt;/citation.key5&gt;&lt;citation.value5&gt; (1979) &lt;/citation.value5&gt;&lt;citation.key6&gt;CourtParenthetical.Date.Year.Year&lt;/citation.key6&gt;&lt;citation.value6&gt;1979&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Perrin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44 U.S. 37, 42&lt;/citation.value23&gt;&lt;citation.key24&gt;Reporter.FirstPage&lt;/citation.key24&gt;&lt;citation.value24&gt;37&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44&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42&lt;/citation.value33&gt;&lt;citation.key34&gt;Reporter.__PinPages.First&lt;/citation.key34&gt;&lt;citation.value34&gt;42&lt;/citation.value34&gt;&lt;citation.key35&gt;Reporter.__PinPages.First._Pattern&lt;/citation.key35&gt;&lt;citation.value35&gt;FirstPageInRange.FirstPageInRange&lt;/citation.value35&gt;&lt;citation.key36&gt;Reporter.__PinPages.First.__PageNumber&lt;/citation.key36&gt;&lt;citation.value36&gt;42&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United States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40[0]" w:val="&lt;#1&gt;&lt;citation&gt;&lt;citation._original_string&gt;17 U.S.C. § 101&lt;/citation._original_string&gt;&lt;citation._current_string&gt;17 U.S.C. § 101&lt;/citation._current_string&gt;&lt;citation._full_string&gt;17 U.S.C. §1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42[0]" w:val="&lt;#1&gt;&lt;citation&gt;&lt;citation._original_string&gt;Respondents., 1995 WL 17048780 (U.S.)&lt;/citation._original_string&gt;&lt;citation._current_string&gt;Respondents., 1995 WL 17048780 (U.S. 1995)&lt;/citation._current_string&gt;&lt;citation._full_string&gt;Respondents., , 1995 WL 17048780 (U.S. 1995)&lt;/citation._full_string&gt;&lt;citation._current_format&gt;Full.UnreportedCaseCitation&lt;/citation._current_format&gt;&lt;citation.name&gt;&lt;/citation.name&gt;&lt;citation.key0&gt;CaseName&lt;/citation.key0&gt;&lt;citation.value0&gt;Respondents. &lt;/citation.value0&gt;&lt;citation.key1&gt;CaseName.FirstParty&lt;/citation.key1&gt;&lt;citation.value1&gt;Respondents. &lt;/citation.value1&gt;&lt;citation.key2&gt;CaseName.FirstParty.Party&lt;/citation.key2&gt;&lt;citation.value2&gt;Respondents.&lt;/citation.value2&gt;&lt;citation.key3&gt;CaseName.FirstParty._Pattern&lt;/citation.key3&gt;&lt;citation.value3&gt;Party.Party&lt;/citation.value3&gt;&lt;citation.key4&gt;CaseName._Pattern&lt;/citation.key4&gt;&lt;citation.value4&gt;CaseName.CaseName&lt;/citation.value4&gt;&lt;citation.key5&gt;CourtParenthetical&lt;/citation.key5&gt;&lt;citation.value5&gt; (U.S. 1995) &lt;/citation.value5&gt;&lt;citation.key6&gt;CourtParenthetical.(&lt;/citation.key6&gt;&lt;citation.value6&gt;(&lt;/citation.value6&gt;&lt;citation.key7&gt;CourtParenthetical.)&lt;/citation.key7&gt;&lt;citation.value7&gt;)&lt;/citation.value7&gt;&lt;citation.key8&gt;CourtParenthetical.CourtName&lt;/citation.key8&gt;&lt;citation.value8&gt;U.S. &lt;/citation.value8&gt;&lt;citation.key9&gt;CourtParenthetical.CourtName.CourtName&lt;/citation.key9&gt;&lt;citation.value9&gt;U.S.&lt;/citation.value9&gt;&lt;citation.key10&gt;CourtParenthetical.CourtName._Pattern&lt;/citation.key10&gt;&lt;citation.value10&gt;CourtName.CourtName&lt;/citation.value10&gt;&lt;citation.key11&gt;CourtParenthetical.Date&lt;/citation.key11&gt;&lt;citation.value11&gt;1995&lt;/citation.value11&gt;&lt;citation.key12&gt;CourtParenthetical.Date.Year&lt;/citation.key12&gt;&lt;citation.value12&gt;1995&lt;/citation.value12&gt;&lt;citation.key13&gt;CourtParenthetical.Date.Year.Year&lt;/citation.key13&gt;&lt;citation.value13&gt;199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Id&lt;/citation.key24&gt;&lt;citation.value24&gt;Id. &lt;/citation.value24&gt;&lt;citation.key25&gt;Id.Id&lt;/citation.key25&gt;&lt;citation.value25&gt;Id.&lt;/citation.value25&gt;&lt;citation.key26&gt;Id._Pattern&lt;/citation.key26&gt;&lt;citation.value26&gt;IdGraph.IdGraph&lt;/citation.value26&gt;&lt;citation.key27&gt;RequiredComma._Pattern&lt;/citation.key27&gt;&lt;citation.value27&gt;RequiredComma.RequiredComma&lt;/citation.value27&gt;&lt;citation.key28&gt;UnreportedCase&lt;/citation.key28&gt;&lt;citation.value28&gt;, 1995 WL 17048780 &lt;/citation.value28&gt;&lt;citation.key29&gt;UnreportedCase.,&lt;/citation.key29&gt;&lt;citation.value29&gt;,&lt;/citation.value29&gt;&lt;citation.key30&gt;UnreportedCase.Database&lt;/citation.key30&gt;&lt;citation.value30&gt;1995 WL 17048780 &lt;/citation.value30&gt;&lt;citation.key31&gt;UnreportedCase.Database.DBReference&lt;/citation.key31&gt;&lt;citation.value31&gt;1995 WL 17048780 &lt;/citation.value31&gt;&lt;citation.key32&gt;UnreportedCase.Database.DBReference.DBNumber&lt;/citation.key32&gt;&lt;citation.value32&gt;17048780&lt;/citation.value32&gt;&lt;citation.key33&gt;UnreportedCase.Database.DBReference.WL&lt;/citation.key33&gt;&lt;citation.value33&gt;WL&lt;/citation.value33&gt;&lt;citation.key34&gt;UnreportedCase.Database.DBReference.Year&lt;/citation.key34&gt;&lt;citation.value34&gt;1995 &lt;/citation.value34&gt;&lt;citation.key35&gt;UnreportedCase.Database.DBReference.Year.Year&lt;/citation.key35&gt;&lt;citation.value35&gt;1995&lt;/citation.value35&gt;&lt;citation.key36&gt;UnreportedCase.Database.DBReference.Year._Pattern&lt;/citation.key36&gt;&lt;citation.value36&gt;Year.Year&lt;/citation.value36&gt;&lt;citation.key37&gt;UnreportedCase.Database.DBReference._Pattern&lt;/citation.key37&gt;&lt;citation.value37&gt;Case_DatabaseReference.Case_DatabaseReference&lt;/citation.value37&gt;&lt;citation.key38&gt;UnreportedCase.Database._Pattern&lt;/citation.key38&gt;&lt;citation.value38&gt;Case_DatabaseList.Case_DatabaseList&lt;/citation.value38&gt;&lt;citation.key39&gt;UnreportedCase._Pattern&lt;/citation.key39&gt;&lt;citation.value39&gt;UnreportedCase.UnreportedCase&lt;/citation.value39&gt;&lt;/citation&gt;_x000a_"/>
    <w:docVar w:name="CITRUS_BOOKMARK43[0]" w:val="&lt;#1&gt;&lt;citation&gt;&lt;citation._original_string&gt;Id&lt;/citation._original_string&gt;&lt;citation._current_string&gt;Id.&lt;/citation._current_string&gt;&lt;citation._full_string&gt;Respondents., , 1995 WL 17048780 (U.S. 1995)&lt;/citation._full_string&gt;&lt;citation._current_format&gt;Id.UnreportedCaseUId&lt;/citation._current_format&gt;&lt;citation.name&gt;&lt;/citation.name&gt;&lt;citation.key0&gt;CaseName&lt;/citation.key0&gt;&lt;citation.value0&gt;Respondents. &lt;/citation.value0&gt;&lt;citation.key1&gt;CaseName.FirstParty&lt;/citation.key1&gt;&lt;citation.value1&gt;Respondents. &lt;/citation.value1&gt;&lt;citation.key2&gt;CaseName.FirstParty.Party&lt;/citation.key2&gt;&lt;citation.value2&gt;Respondents.&lt;/citation.value2&gt;&lt;citation.key3&gt;CaseName.FirstParty._Pattern&lt;/citation.key3&gt;&lt;citation.value3&gt;Party.Party&lt;/citation.value3&gt;&lt;citation.key4&gt;CaseName._Pattern&lt;/citation.key4&gt;&lt;citation.value4&gt;CaseName.CaseName&lt;/citation.value4&gt;&lt;citation.key5&gt;CourtParenthetical&lt;/citation.key5&gt;&lt;citation.value5&gt; (U.S. 1995) &lt;/citation.value5&gt;&lt;citation.key6&gt;CourtParenthetical.(&lt;/citation.key6&gt;&lt;citation.value6&gt;(&lt;/citation.value6&gt;&lt;citation.key7&gt;CourtParenthetical.)&lt;/citation.key7&gt;&lt;citation.value7&gt;)&lt;/citation.value7&gt;&lt;citation.key8&gt;CourtParenthetical.CourtName&lt;/citation.key8&gt;&lt;citation.value8&gt;U.S. &lt;/citation.value8&gt;&lt;citation.key9&gt;CourtParenthetical.CourtName.CourtName&lt;/citation.key9&gt;&lt;citation.value9&gt;U.S.&lt;/citation.value9&gt;&lt;citation.key10&gt;CourtParenthetical.CourtName._Pattern&lt;/citation.key10&gt;&lt;citation.value10&gt;CourtName.CourtName&lt;/citation.value10&gt;&lt;citation.key11&gt;CourtParenthetical.Date&lt;/citation.key11&gt;&lt;citation.value11&gt;1995&lt;/citation.value11&gt;&lt;citation.key12&gt;CourtParenthetical.Date.Year&lt;/citation.key12&gt;&lt;citation.value12&gt;1995&lt;/citation.value12&gt;&lt;citation.key13&gt;CourtParenthetical.Date.Year.Year&lt;/citation.key13&gt;&lt;citation.value13&gt;199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Id&lt;/citation.key24&gt;&lt;citation.value24&gt;Id. &lt;/citation.value24&gt;&lt;citation.key25&gt;Id.ForbiddenComma._Pattern&lt;/citation.key25&gt;&lt;citation.value25&gt;ForbiddenComma.ForbiddenComma&lt;/citation.value25&gt;&lt;citation.key26&gt;Id.Id&lt;/citation.key26&gt;&lt;citation.value26&gt;Id.&lt;/citation.value26&gt;&lt;citation.key27&gt;Id._Pattern&lt;/citation.key27&gt;&lt;citation.value27&gt;IdGraph.IdGraph&lt;/citation.value27&gt;&lt;citation.key28&gt;RequiredComma._Pattern&lt;/citation.key28&gt;&lt;citation.value28&gt;RequiredComma.RequiredComma&lt;/citation.value28&gt;&lt;citation.key29&gt;UnreportedCase&lt;/citation.key29&gt;&lt;citation.value29&gt;, 1995 WL 17048780 &lt;/citation.value29&gt;&lt;citation.key30&gt;UnreportedCase.,&lt;/citation.key30&gt;&lt;citation.value30&gt;,&lt;/citation.value30&gt;&lt;citation.key31&gt;UnreportedCase.Database&lt;/citation.key31&gt;&lt;citation.value31&gt;1995 WL 17048780 &lt;/citation.value31&gt;&lt;citation.key32&gt;UnreportedCase.Database.DBReference&lt;/citation.key32&gt;&lt;citation.value32&gt;1995 WL 17048780 &lt;/citation.value32&gt;&lt;citation.key33&gt;UnreportedCase.Database.DBReference.DBNumber&lt;/citation.key33&gt;&lt;citation.value33&gt;17048780&lt;/citation.value33&gt;&lt;citation.key34&gt;UnreportedCase.Database.DBReference.WL&lt;/citation.key34&gt;&lt;citation.value34&gt;WL&lt;/citation.value34&gt;&lt;citation.key35&gt;UnreportedCase.Database.DBReference.Year&lt;/citation.key35&gt;&lt;citation.value35&gt;1995 &lt;/citation.value35&gt;&lt;citation.key36&gt;UnreportedCase.Database.DBReference.Year.Year&lt;/citation.key36&gt;&lt;citation.value36&gt;1995&lt;/citation.value36&gt;&lt;citation.key37&gt;UnreportedCase.Database.DBReference.Year._Pattern&lt;/citation.key37&gt;&lt;citation.value37&gt;Year.Year&lt;/citation.value37&gt;&lt;citation.key38&gt;UnreportedCase.Database.DBReference._Pattern&lt;/citation.key38&gt;&lt;citation.value38&gt;Case_DatabaseReference.Case_DatabaseReference&lt;/citation.value38&gt;&lt;citation.key39&gt;UnreportedCase.Database._Pattern&lt;/citation.key39&gt;&lt;citation.value39&gt;Case_DatabaseList.Case_DatabaseList&lt;/citation.value39&gt;&lt;citation.key40&gt;UnreportedCase._Pattern&lt;/citation.key40&gt;&lt;citation.value40&gt;UnreportedCase.UnreportedCase&lt;/citation.value40&gt;&lt;/citation&gt;_x000a_"/>
    <w:docVar w:name="CITRUS_BOOKMARK44[0]" w:val="&lt;#1&gt;&lt;citation&gt;&lt;citation._original_string&gt;Id&lt;/citation._original_string&gt;&lt;citation._current_string&gt;Id.&lt;/citation._current_string&gt;&lt;citation._full_string&gt;Respondents., , 1995 WL 17048780 (U.S. 1995)&lt;/citation._full_string&gt;&lt;citation._current_format&gt;Id.UnreportedCaseUId&lt;/citation._current_format&gt;&lt;citation.name&gt;&lt;/citation.name&gt;&lt;citation.key0&gt;CaseName&lt;/citation.key0&gt;&lt;citation.value0&gt;Respondents. &lt;/citation.value0&gt;&lt;citation.key1&gt;CaseName.FirstParty&lt;/citation.key1&gt;&lt;citation.value1&gt;Respondents. &lt;/citation.value1&gt;&lt;citation.key2&gt;CaseName.FirstParty.Party&lt;/citation.key2&gt;&lt;citation.value2&gt;Respondents.&lt;/citation.value2&gt;&lt;citation.key3&gt;CaseName.FirstParty._Pattern&lt;/citation.key3&gt;&lt;citation.value3&gt;Party.Party&lt;/citation.value3&gt;&lt;citation.key4&gt;CaseName._Pattern&lt;/citation.key4&gt;&lt;citation.value4&gt;CaseName.CaseName&lt;/citation.value4&gt;&lt;citation.key5&gt;CourtParenthetical&lt;/citation.key5&gt;&lt;citation.value5&gt; (U.S. 1995) &lt;/citation.value5&gt;&lt;citation.key6&gt;CourtParenthetical.(&lt;/citation.key6&gt;&lt;citation.value6&gt;(&lt;/citation.value6&gt;&lt;citation.key7&gt;CourtParenthetical.)&lt;/citation.key7&gt;&lt;citation.value7&gt;)&lt;/citation.value7&gt;&lt;citation.key8&gt;CourtParenthetical.CourtName&lt;/citation.key8&gt;&lt;citation.value8&gt;U.S. &lt;/citation.value8&gt;&lt;citation.key9&gt;CourtParenthetical.CourtName.CourtName&lt;/citation.key9&gt;&lt;citation.value9&gt;U.S.&lt;/citation.value9&gt;&lt;citation.key10&gt;CourtParenthetical.CourtName._Pattern&lt;/citation.key10&gt;&lt;citation.value10&gt;CourtName.CourtName&lt;/citation.value10&gt;&lt;citation.key11&gt;CourtParenthetical.Date&lt;/citation.key11&gt;&lt;citation.value11&gt;1995&lt;/citation.value11&gt;&lt;citation.key12&gt;CourtParenthetical.Date.Year&lt;/citation.key12&gt;&lt;citation.value12&gt;1995&lt;/citation.value12&gt;&lt;citation.key13&gt;CourtParenthetical.Date.Year.Year&lt;/citation.key13&gt;&lt;citation.value13&gt;199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Id&lt;/citation.key24&gt;&lt;citation.value24&gt;Id. &lt;/citation.value24&gt;&lt;citation.key25&gt;Id.ForbiddenComma._Pattern&lt;/citation.key25&gt;&lt;citation.value25&gt;ForbiddenComma.ForbiddenComma&lt;/citation.value25&gt;&lt;citation.key26&gt;Id.Id&lt;/citation.key26&gt;&lt;citation.value26&gt;Id.&lt;/citation.value26&gt;&lt;citation.key27&gt;Id._Pattern&lt;/citation.key27&gt;&lt;citation.value27&gt;IdGraph.IdGraph&lt;/citation.value27&gt;&lt;citation.key28&gt;RequiredComma._Pattern&lt;/citation.key28&gt;&lt;citation.value28&gt;RequiredComma.RequiredComma&lt;/citation.value28&gt;&lt;citation.key29&gt;UnreportedCase&lt;/citation.key29&gt;&lt;citation.value29&gt;, 1995 WL 17048780 &lt;/citation.value29&gt;&lt;citation.key30&gt;UnreportedCase.,&lt;/citation.key30&gt;&lt;citation.value30&gt;,&lt;/citation.value30&gt;&lt;citation.key31&gt;UnreportedCase.Database&lt;/citation.key31&gt;&lt;citation.value31&gt;1995 WL 17048780 &lt;/citation.value31&gt;&lt;citation.key32&gt;UnreportedCase.Database.DBReference&lt;/citation.key32&gt;&lt;citation.value32&gt;1995 WL 17048780 &lt;/citation.value32&gt;&lt;citation.key33&gt;UnreportedCase.Database.DBReference.DBNumber&lt;/citation.key33&gt;&lt;citation.value33&gt;17048780&lt;/citation.value33&gt;&lt;citation.key34&gt;UnreportedCase.Database.DBReference.WL&lt;/citation.key34&gt;&lt;citation.value34&gt;WL&lt;/citation.value34&gt;&lt;citation.key35&gt;UnreportedCase.Database.DBReference.Year&lt;/citation.key35&gt;&lt;citation.value35&gt;1995 &lt;/citation.value35&gt;&lt;citation.key36&gt;UnreportedCase.Database.DBReference.Year.Year&lt;/citation.key36&gt;&lt;citation.value36&gt;1995&lt;/citation.value36&gt;&lt;citation.key37&gt;UnreportedCase.Database.DBReference.Year._Pattern&lt;/citation.key37&gt;&lt;citation.value37&gt;Year.Year&lt;/citation.value37&gt;&lt;citation.key38&gt;UnreportedCase.Database.DBReference._Pattern&lt;/citation.key38&gt;&lt;citation.value38&gt;Case_DatabaseReference.Case_DatabaseReference&lt;/citation.value38&gt;&lt;citation.key39&gt;UnreportedCase.Database._Pattern&lt;/citation.key39&gt;&lt;citation.value39&gt;Case_DatabaseList.Case_DatabaseList&lt;/citation.value39&gt;&lt;citation.key40&gt;UnreportedCase._Pattern&lt;/citation.key40&gt;&lt;citation.value40&gt;UnreportedCase.UnreportedCase&lt;/citation.value40&gt;&lt;/citation&gt;_x000a_"/>
    <w:docVar w:name="CITRUS_BOOKMARK45[0]" w:val="&lt;#1&gt;&lt;citation&gt;&lt;citation._original_string&gt;Id&lt;/citation._original_string&gt;&lt;citation._current_string&gt;Id.&lt;/citation._current_string&gt;&lt;citation._full_string&gt;Respondents., , 1995 WL 17048780 (U.S. 1995)&lt;/citation._full_string&gt;&lt;citation._current_format&gt;Id.UnreportedCaseUId&lt;/citation._current_format&gt;&lt;citation.name&gt;&lt;/citation.name&gt;&lt;citation.key0&gt;CaseName&lt;/citation.key0&gt;&lt;citation.value0&gt;Respondents. &lt;/citation.value0&gt;&lt;citation.key1&gt;CaseName.FirstParty&lt;/citation.key1&gt;&lt;citation.value1&gt;Respondents. &lt;/citation.value1&gt;&lt;citation.key2&gt;CaseName.FirstParty.Party&lt;/citation.key2&gt;&lt;citation.value2&gt;Respondents.&lt;/citation.value2&gt;&lt;citation.key3&gt;CaseName.FirstParty._Pattern&lt;/citation.key3&gt;&lt;citation.value3&gt;Party.Party&lt;/citation.value3&gt;&lt;citation.key4&gt;CaseName._Pattern&lt;/citation.key4&gt;&lt;citation.value4&gt;CaseName.CaseName&lt;/citation.value4&gt;&lt;citation.key5&gt;CourtParenthetical&lt;/citation.key5&gt;&lt;citation.value5&gt; (U.S. 1995) &lt;/citation.value5&gt;&lt;citation.key6&gt;CourtParenthetical.(&lt;/citation.key6&gt;&lt;citation.value6&gt;(&lt;/citation.value6&gt;&lt;citation.key7&gt;CourtParenthetical.)&lt;/citation.key7&gt;&lt;citation.value7&gt;)&lt;/citation.value7&gt;&lt;citation.key8&gt;CourtParenthetical.CourtName&lt;/citation.key8&gt;&lt;citation.value8&gt;U.S. &lt;/citation.value8&gt;&lt;citation.key9&gt;CourtParenthetical.CourtName.CourtName&lt;/citation.key9&gt;&lt;citation.value9&gt;U.S.&lt;/citation.value9&gt;&lt;citation.key10&gt;CourtParenthetical.CourtName._Pattern&lt;/citation.key10&gt;&lt;citation.value10&gt;CourtName.CourtName&lt;/citation.value10&gt;&lt;citation.key11&gt;CourtParenthetical.Date&lt;/citation.key11&gt;&lt;citation.value11&gt;1995&lt;/citation.value11&gt;&lt;citation.key12&gt;CourtParenthetical.Date.Year&lt;/citation.key12&gt;&lt;citation.value12&gt;1995&lt;/citation.value12&gt;&lt;citation.key13&gt;CourtParenthetical.Date.Year.Year&lt;/citation.key13&gt;&lt;citation.value13&gt;199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Id&lt;/citation.key24&gt;&lt;citation.value24&gt;Id. &lt;/citation.value24&gt;&lt;citation.key25&gt;Id.ForbiddenComma._Pattern&lt;/citation.key25&gt;&lt;citation.value25&gt;ForbiddenComma.ForbiddenComma&lt;/citation.value25&gt;&lt;citation.key26&gt;Id.Id&lt;/citation.key26&gt;&lt;citation.value26&gt;Id.&lt;/citation.value26&gt;&lt;citation.key27&gt;Id._Pattern&lt;/citation.key27&gt;&lt;citation.value27&gt;IdGraph.IdGraph&lt;/citation.value27&gt;&lt;citation.key28&gt;RequiredComma._Pattern&lt;/citation.key28&gt;&lt;citation.value28&gt;RequiredComma.RequiredComma&lt;/citation.value28&gt;&lt;citation.key29&gt;UnreportedCase&lt;/citation.key29&gt;&lt;citation.value29&gt;, 1995 WL 17048780 &lt;/citation.value29&gt;&lt;citation.key30&gt;UnreportedCase.,&lt;/citation.key30&gt;&lt;citation.value30&gt;,&lt;/citation.value30&gt;&lt;citation.key31&gt;UnreportedCase.Database&lt;/citation.key31&gt;&lt;citation.value31&gt;1995 WL 17048780 &lt;/citation.value31&gt;&lt;citation.key32&gt;UnreportedCase.Database.DBReference&lt;/citation.key32&gt;&lt;citation.value32&gt;1995 WL 17048780 &lt;/citation.value32&gt;&lt;citation.key33&gt;UnreportedCase.Database.DBReference.DBNumber&lt;/citation.key33&gt;&lt;citation.value33&gt;17048780&lt;/citation.value33&gt;&lt;citation.key34&gt;UnreportedCase.Database.DBReference.WL&lt;/citation.key34&gt;&lt;citation.value34&gt;WL&lt;/citation.value34&gt;&lt;citation.key35&gt;UnreportedCase.Database.DBReference.Year&lt;/citation.key35&gt;&lt;citation.value35&gt;1995 &lt;/citation.value35&gt;&lt;citation.key36&gt;UnreportedCase.Database.DBReference.Year.Year&lt;/citation.key36&gt;&lt;citation.value36&gt;1995&lt;/citation.value36&gt;&lt;citation.key37&gt;UnreportedCase.Database.DBReference.Year._Pattern&lt;/citation.key37&gt;&lt;citation.value37&gt;Year.Year&lt;/citation.value37&gt;&lt;citation.key38&gt;UnreportedCase.Database.DBReference._Pattern&lt;/citation.key38&gt;&lt;citation.value38&gt;Case_DatabaseReference.Case_DatabaseReference&lt;/citation.value38&gt;&lt;citation.key39&gt;UnreportedCase.Database._Pattern&lt;/citation.key39&gt;&lt;citation.value39&gt;Case_DatabaseList.Case_DatabaseList&lt;/citation.value39&gt;&lt;citation.key40&gt;UnreportedCase._Pattern&lt;/citation.key40&gt;&lt;citation.value40&gt;UnreportedCase.UnreportedCase&lt;/citation.value40&gt;&lt;/citation&gt;_x000a_"/>
    <w:docVar w:name="CITRUS_BOOKMARK46[0]" w:val="&lt;#1&gt;&lt;citation&gt;&lt;citation._original_string&gt;U.S. Fish &amp; Wildlife Serv., 353 F.3d 1051, 1060 (9th Cir. 2003)&lt;/citation._original_string&gt;&lt;citation._current_string&gt;Wilderness Soc'y v. U.S. FWS, 353 F.3d 1051, 1060 (9th Cir. 2003)&lt;/citation._current_string&gt;&lt;citation._full_string&gt;Wilderness Soc'y v. U.S. FWS, 353 F.3d 1051, 1060 (9th Cir. 2003)&lt;/citation._full_string&gt;&lt;citation._current_format&gt;Full.CaseCitation&lt;/citation._current_format&gt;&lt;citation.name&gt;&lt;/citation.name&gt;&lt;citation.key0&gt;,&lt;/citation.key0&gt;&lt;citation.value0&gt;,&lt;/citation.value0&gt;&lt;citation.key1&gt;CaseName.FirstParty&lt;/citation.key1&gt;&lt;citation.value1&gt;Wilderness Soc'y&lt;/citation.value1&gt;&lt;citation.key2&gt;CaseName.FirstParty.Party&lt;/citation.key2&gt;&lt;citation.value2&gt;Wilderness Soc'y&lt;/citation.value2&gt;&lt;citation.key3&gt;CaseName.FirstParty._Pattern&lt;/citation.key3&gt;&lt;citation.value3&gt;Party.Party&lt;/citation.value3&gt;&lt;citation.key4&gt;CaseName.SecondParty&lt;/citation.key4&gt;&lt;citation.value4&gt;United States FWS&lt;/citation.value4&gt;&lt;citation.key5&gt;CaseName.SecondParty.Party&lt;/citation.key5&gt;&lt;citation.value5&gt;United States FWS&lt;/citation.value5&gt;&lt;citation.key6&gt;CaseName.SecondParty._Pattern&lt;/citation.key6&gt;&lt;citation.value6&gt;Party.Party&lt;/citation.value6&gt;&lt;citation.key7&gt;CaseName._Pattern&lt;/citation.key7&gt;&lt;citation.value7&gt;&lt;/citation.value7&gt;&lt;citation.key8&gt;CourtParenthetical&lt;/citation.key8&gt;&lt;citation.value8&gt; (9th Cir. 2003) &lt;/citation.value8&gt;&lt;citation.key9&gt;CourtParenthetical.CourtName&lt;/citation.key9&gt;&lt;citation.value9&gt;9th Cir. &lt;/citation.value9&gt;&lt;citation.key10&gt;CourtParenthetical.CourtName.CourtName&lt;/citation.key10&gt;&lt;citation.value10&gt;9th Cir.&lt;/citation.value10&gt;&lt;citation.key11&gt;CourtParenthetical.CourtName._Pattern&lt;/citation.key11&gt;&lt;citation.value11&gt;CourtName.CourtName&lt;/citation.value11&gt;&lt;citation.key12&gt;CourtParenthetical.Date.Year&lt;/citation.key12&gt;&lt;citation.value12&gt;2003&lt;/citation.value12&gt;&lt;citation.key13&gt;CourtParenthetical.Date.Year.Year&lt;/citation.key13&gt;&lt;citation.value13&gt;2003&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353 F.3d 1051, 1060&lt;/citation.value30&gt;&lt;citation.key31&gt;Reporter.FirstPage&lt;/citation.key31&gt;&lt;citation.value31&gt;1051&lt;/citation.value31&gt;&lt;citation.key32&gt;Reporter.Name&lt;/citation.key32&gt;&lt;citation.value32&gt;F.3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353&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1060&lt;/citation.value40&gt;&lt;citation.key41&gt;Reporter.__PinPages.First&lt;/citation.key41&gt;&lt;citation.value41&gt;1060&lt;/citation.value41&gt;&lt;citation.key42&gt;Reporter.__PinPages.First._Pattern&lt;/citation.key42&gt;&lt;citation.value42&gt;FirstPageInRange.FirstPageInRange&lt;/citation.value42&gt;&lt;citation.key43&gt;Reporter.__PinPages.First.__PageNumber&lt;/citation.key43&gt;&lt;citation.value43&gt;1060&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47[0]" w:val="&lt;#1&gt;&lt;citation&gt;&lt;citation._original_string&gt;State ex rel. Helman v. Gallegos, 117 N.M. 346, 353, 871 P.2d 1352, 1359 (1994)&lt;/citation._original_string&gt;&lt;citation._current_string&gt;State ex rel. Helman v. Gallegos, 117 N.M. 346, 353, 871 P.2d 1352, 1359 (1994)&lt;/citation._current_string&gt;&lt;citation._full_string&gt;State ex rel. Helman v. Gallegos, 117 N.M. 346, 353, 871 P.2d 1352, 1359 (1994)&lt;/citation._full_string&gt;&lt;citation._current_format&gt;Full.CaseCitation&lt;/citation._current_format&gt;&lt;citation.name&gt;&lt;/citation.name&gt;&lt;citation.key0&gt;,&lt;/citation.key0&gt;&lt;citation.value0&gt;,&lt;/citation.value0&gt;&lt;citation.key1&gt;CaseName.FirstParty&lt;/citation.key1&gt;&lt;citation.value1&gt;State&lt;/citation.value1&gt;&lt;citation.key2&gt;CaseName.FirstParty.ExRel&lt;/citation.key2&gt;&lt;citation.value2&gt;ex rel.&lt;/citation.value2&gt;&lt;citation.key3&gt;CaseName.FirstParty.Party&lt;/citation.key3&gt;&lt;citation.value3&gt;State&lt;/citation.value3&gt;&lt;citation.key4&gt;CaseName.FirstParty.Relator&lt;/citation.key4&gt;&lt;citation.value4&gt;Helman&lt;/citation.value4&gt;&lt;citation.key5&gt;CaseName.FirstParty._Pattern&lt;/citation.key5&gt;&lt;citation.value5&gt;Party.Party&lt;/citation.value5&gt;&lt;citation.key6&gt;CaseName.SecondParty&lt;/citation.key6&gt;&lt;citation.value6&gt;Gallegos&lt;/citation.value6&gt;&lt;citation.key7&gt;CaseName.SecondParty.Party&lt;/citation.key7&gt;&lt;citation.value7&gt;Gallegos&lt;/citation.value7&gt;&lt;citation.key8&gt;CaseName.SecondParty._Pattern&lt;/citation.key8&gt;&lt;citation.value8&gt;Party.Party&lt;/citation.value8&gt;&lt;citation.key9&gt;CaseName._Pattern&lt;/citation.key9&gt;&lt;citation.value9&gt;&lt;/citation.value9&gt;&lt;citation.key10&gt;CourtParenthetical&lt;/citation.key10&gt;&lt;citation.value10&gt; (1994) &lt;/citation.value10&gt;&lt;citation.key11&gt;CourtParenthetical.Date.Year&lt;/citation.key11&gt;&lt;citation.value11&gt;1994&lt;/citation.value11&gt;&lt;citation.key12&gt;CourtParenthetical.Date.Year.Year&lt;/citation.key12&gt;&lt;citation.value12&gt;1994&lt;/citation.value12&gt;&lt;citation.key13&gt;CourtParenthetical.Date.Year._Pattern&lt;/citation.key13&gt;&lt;citation.value13&gt;CourtParenthetical.Date.Year.Year&lt;/citation.value13&gt;&lt;citation.key14&gt;CourtParenthetical.Date._Pattern&lt;/citation.key14&gt;&lt;citation.value14&gt;CourtParenthetical.Date.Date&lt;/citation.value14&gt;&lt;citation.key15&gt;CourtParenthetical.ForbiddenComma._Pattern&lt;/citation.key15&gt;&lt;citation.value15&gt;ForbiddenComma.ForbiddenComma&lt;/citation.value15&gt;&lt;citation.key16&gt;CourtParenthetical.Switch ( [ L&lt;/citation.key16&gt;&lt;citation.value16&gt; (&lt;/citation.value16&gt;&lt;citation.key17&gt;CourtParenthetical.Switch ( [ L.(&lt;/citation.key17&gt;&lt;citation.value17&gt;(&lt;/citation.value17&gt;&lt;citation.key18&gt;CourtParenthetical.Switch ( [ L._Pattern&lt;/citation.key18&gt;&lt;citation.value18&gt;Switch ( [ L.Switch ( [ L&lt;/citation.value18&gt;&lt;citation.key19&gt;CourtParenthetical.Switch ) ] R&lt;/citation.key19&gt;&lt;citation.value19&gt;) &lt;/citation.value19&gt;&lt;citation.key20&gt;CourtParenthetical.Switch ) ] R.)&lt;/citation.key20&gt;&lt;citation.value20&gt;)&lt;/citation.value20&gt;&lt;citation.key21&gt;CourtParenthetical.Switch ) ] R._Pattern&lt;/citation.key21&gt;&lt;citation.value21&gt;Switch ) ] R.Switch ) ] R&lt;/citation.value21&gt;&lt;citation.key22&gt;CourtParenthetical._Pattern&lt;/citation.key22&gt;&lt;citation.value22&gt;CourtParenthetical.CourtParenthetical&lt;/citation.value22&gt;&lt;citation.key23&gt;HAS_AUTHORITATIVE_DATA&lt;/citation.key23&gt;&lt;citation.value23&gt;YES&lt;/citation.value23&gt;&lt;citation.key24&gt;Id&lt;/citation.key24&gt;&lt;citation.value24&gt;Id. &lt;/citation.value24&gt;&lt;citation.key25&gt;Id.Id&lt;/citation.key25&gt;&lt;citation.value25&gt;Id.&lt;/citation.value25&gt;&lt;citation.key26&gt;Id._Pattern&lt;/citation.key26&gt;&lt;citation.value26&gt;IdGraph.IdGraph&lt;/citation.value26&gt;&lt;citation.key27&gt;NY L Paren&lt;/citation.key27&gt;&lt;citation.value27&gt;(&lt;/citation.value27&gt;&lt;citation.key28&gt;NY R Paren&lt;/citation.key28&gt;&lt;citation.value28&gt;)&lt;/citation.value28&gt;&lt;citation.key29&gt;Reporter&lt;/citation.key29&gt;&lt;citation.value29&gt;117 N.M. 346, 353, 871 P.2d 1352, 1359&lt;/citation.value29&gt;&lt;citation.key30&gt;Reporter.,&lt;/citation.key30&gt;&lt;citation.value30&gt;,&lt;/citation.value30&gt;&lt;citation.key31&gt;Reporter.FirstPage&lt;/citation.key31&gt;&lt;citation.value31&gt;346&lt;/citation.value31&gt;&lt;citation.key32&gt;Reporter.Name&lt;/citation.key32&gt;&lt;citation.value32&gt;N.M.&lt;/citation.value32&gt;&lt;citation.key33&gt;Reporter.NextReporter&lt;/citation.key33&gt;&lt;citation.value33&gt;871 P.2d 1352, 1359&lt;/citation.value33&gt;&lt;citation.key34&gt;Reporter.NextReporter.FirstPage&lt;/citation.key34&gt;&lt;citation.value34&gt;1352&lt;/citation.value34&gt;&lt;citation.key35&gt;Reporter.NextReporter.Name&lt;/citation.key35&gt;&lt;citation.value35&gt;P.2d&lt;/citation.value35&gt;&lt;citation.key36&gt;Reporter.NextReporter.RequiredComma&lt;/citation.key36&gt;&lt;citation.value36&gt;, &lt;/citation.value36&gt;&lt;citation.key37&gt;Reporter.NextReporter.RequiredComma.Comma&lt;/citation.key37&gt;&lt;citation.value37&gt;,&lt;/citation.value37&gt;&lt;citation.key38&gt;Reporter.NextReporter.RequiredComma._Pattern&lt;/citation.key38&gt;&lt;citation.value38&gt;RequiredComma.RequiredComma&lt;/citation.value38&gt;&lt;citation.key39&gt;Reporter.NextReporter.Volume&lt;/citation.key39&gt;&lt;citation.value39&gt;871&lt;/citation.value39&gt;&lt;citation.key40&gt;Reporter.NextReporter._Pattern&lt;/citation.key40&gt;&lt;citation.value40&gt;Reporter.Reporter&lt;/citation.value40&gt;&lt;citation.key41&gt;Reporter.NextReporter.__PinPages&lt;/citation.key41&gt;&lt;citation.value41&gt;1359&lt;/citation.value41&gt;&lt;citation.key42&gt;Reporter.NextReporter.__PinPages.First&lt;/citation.key42&gt;&lt;citation.value42&gt;1359&lt;/citation.value42&gt;&lt;citation.key43&gt;Reporter.NextReporter.__PinPages.First._Pattern&lt;/citation.key43&gt;&lt;citation.value43&gt;FirstPageInRange.FirstPageInRange&lt;/citation.value43&gt;&lt;citation.key44&gt;Reporter.NextReporter.__PinPages.First.__PageNumber&lt;/citation.key44&gt;&lt;citation.value44&gt;1359&lt;/citation.value44&gt;&lt;citation.key45&gt;Reporter.NextReporter.__PinPages._Pattern&lt;/citation.key45&gt;&lt;citation.value45&gt;PinPages.PinPages&lt;/citation.value45&gt;&lt;citation.key46&gt;Reporter.NextReporter.page&lt;/citation.key46&gt;&lt;citation.value46&gt;page&lt;/citation.value46&gt;&lt;citation.key47&gt;Reporter.RequiredComma&lt;/citation.key47&gt;&lt;citation.value47&gt;, &lt;/citation.value47&gt;&lt;citation.key48&gt;Reporter.RequiredComma.Comma&lt;/citation.key48&gt;&lt;citation.value48&gt;,&lt;/citation.value48&gt;&lt;citation.key49&gt;Reporter.RequiredComma._Pattern&lt;/citation.key49&gt;&lt;citation.value49&gt;RequiredComma.RequiredComma&lt;/citation.value49&gt;&lt;citation.key50&gt;Reporter.Volume&lt;/citation.key50&gt;&lt;citation.value50&gt;117&lt;/citation.value50&gt;&lt;citation.key51&gt;Reporter.[&lt;/citation.key51&gt;&lt;citation.value51&gt;[&lt;/citation.value51&gt;&lt;citation.key52&gt;Reporter.]&lt;/citation.key52&gt;&lt;citation.value52&gt;]&lt;/citation.value52&gt;&lt;citation.key53&gt;Reporter._Pattern&lt;/citation.key53&gt;&lt;citation.value53&gt;Reporter.Reporter&lt;/citation.value53&gt;&lt;citation.key54&gt;Reporter.__PinPages&lt;/citation.key54&gt;&lt;citation.value54&gt;353&lt;/citation.value54&gt;&lt;citation.key55&gt;Reporter.__PinPages.First&lt;/citation.key55&gt;&lt;citation.value55&gt;353&lt;/citation.value55&gt;&lt;citation.key56&gt;Reporter.__PinPages.First._Pattern&lt;/citation.key56&gt;&lt;citation.value56&gt;FirstPageInRange.FirstPageInRange&lt;/citation.value56&gt;&lt;citation.key57&gt;Reporter.__PinPages.First.__PageNumber&lt;/citation.key57&gt;&lt;citation.value57&gt;353&lt;/citation.value57&gt;&lt;citation.key58&gt;Reporter.__PinPages._Pattern&lt;/citation.key58&gt;&lt;citation.value58&gt;PinPages.PinPages&lt;/citation.value58&gt;&lt;citation.key59&gt;Reporter.page&lt;/citation.key59&gt;&lt;citation.value59&gt;page&lt;/citation.value59&gt;&lt;citation.key60&gt;RequiredComma&lt;/citation.key60&gt;&lt;citation.value60&gt;, &lt;/citation.value60&gt;&lt;citation.key61&gt;RequiredComma._Pattern&lt;/citation.key61&gt;&lt;citation.value61&gt;RequiredComma.RequiredComma&lt;/citation.value61&gt;&lt;citation.key62&gt;supra&lt;/citation.key62&gt;&lt;citation.value62&gt;&lt;/citation.value62&gt;&lt;citation.key63&gt;supra.,&lt;/citation.key63&gt;&lt;citation.value63&gt;, &lt;/citation.value63&gt;&lt;citation.key64&gt;supra._Pattern&lt;/citation.key64&gt;&lt;citation.value64&gt;ShortCaseSupra.ShortCaseSupra&lt;/citation.value64&gt;&lt;citation.key65&gt;supra.supra&lt;/citation.key65&gt;&lt;citation.value65&gt;supra&lt;/citation.value65&gt;&lt;/citation&gt;_x000a_"/>
    <w:docVar w:name="CITRUS_BOOKMARK48[0]" w:val="&lt;#1&gt;&lt;citation&gt;&lt;citation._original_string&gt;Schiller &amp; Schmidt, Inc. v. Nordisco Corp., 969 F.2d 410 (7th Cir.1992)&lt;/citation._original_string&gt;&lt;citation._current_string&gt;Schiller &amp; Schmidt v. Nordisco Corp., 969 F.2d 410 (7th Cir. 1992)&lt;/citation._current_string&gt;&lt;citation._full_string&gt;Schiller &amp; Schmidt v. Nordisco Corp., 969 F.2d 410 (7th Cir. 1992)&lt;/citation._full_string&gt;&lt;citation._current_format&gt;Full.CaseCitation&lt;/citation._current_format&gt;&lt;citation.name&gt;&lt;/citation.name&gt;&lt;citation.key0&gt;,&lt;/citation.key0&gt;&lt;citation.value0&gt;,&lt;/citation.value0&gt;&lt;citation.key1&gt;CaseName.FirstParty&lt;/citation.key1&gt;&lt;citation.value1&gt;Schiller &amp; Schmidt&lt;/citation.value1&gt;&lt;citation.key2&gt;CaseName.FirstParty.Party&lt;/citation.key2&gt;&lt;citation.value2&gt;Schiller &amp; Schmidt&lt;/citation.value2&gt;&lt;citation.key3&gt;CaseName.FirstParty._Pattern&lt;/citation.key3&gt;&lt;citation.value3&gt;Party.Party&lt;/citation.value3&gt;&lt;citation.key4&gt;CaseName.SecondParty&lt;/citation.key4&gt;&lt;citation.value4&gt;Nordisco Corp.&lt;/citation.value4&gt;&lt;citation.key5&gt;CaseName.SecondParty.Party&lt;/citation.key5&gt;&lt;citation.value5&gt;Nordisco Corp.&lt;/citation.value5&gt;&lt;citation.key6&gt;CaseName.SecondParty._Pattern&lt;/citation.key6&gt;&lt;citation.value6&gt;Party.Party&lt;/citation.value6&gt;&lt;citation.key7&gt;CaseName._Pattern&lt;/citation.key7&gt;&lt;citation.value7&gt;&lt;/citation.value7&gt;&lt;citation.key8&gt;CourtParenthetical&lt;/citation.key8&gt;&lt;citation.value8&gt; (7th Cir. 1992) &lt;/citation.value8&gt;&lt;citation.key9&gt;CourtParenthetical.CourtName&lt;/citation.key9&gt;&lt;citation.value9&gt;7th Cir. &lt;/citation.value9&gt;&lt;citation.key10&gt;CourtParenthetical.CourtName.CourtName&lt;/citation.key10&gt;&lt;citation.value10&gt;7th Cir.&lt;/citation.value10&gt;&lt;citation.key11&gt;CourtParenthetical.CourtName._Pattern&lt;/citation.key11&gt;&lt;citation.value11&gt;CourtName.CourtName&lt;/citation.value11&gt;&lt;citation.key12&gt;CourtParenthetical.Date.Year&lt;/citation.key12&gt;&lt;citation.value12&gt;1992&lt;/citation.value12&gt;&lt;citation.key13&gt;CourtParenthetical.Date.Year.Year&lt;/citation.key13&gt;&lt;citation.value13&gt;1992&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969 F.2d 410 &lt;/citation.value30&gt;&lt;citation.key31&gt;Reporter.FirstPage&lt;/citation.key31&gt;&lt;citation.value31&gt;410&lt;/citation.value31&gt;&lt;citation.key32&gt;Reporter.Name&lt;/citation.key32&gt;&lt;citation.value32&gt;F.2d&lt;/citation.value32&gt;&lt;citation.key33&gt;Reporter.Volume&lt;/citation.key33&gt;&lt;citation.value33&gt;969&lt;/citation.value33&gt;&lt;citation.key34&gt;Reporter.[&lt;/citation.key34&gt;&lt;citation.value34&gt;[&lt;/citation.value34&gt;&lt;citation.key35&gt;Reporter.]&lt;/citation.key35&gt;&lt;citation.value35&gt;]&lt;/citation.value35&gt;&lt;citation.key36&gt;Reporter._Pattern&lt;/citation.key36&gt;&lt;citation.value36&gt;Reporter.Reporter&lt;/citation.value36&gt;&lt;citation.key37&gt;Reporter.page&lt;/citation.key37&gt;&lt;citation.value37&gt;page&lt;/citation.value37&gt;&lt;citation.key38&gt;RequiredComma&lt;/citation.key38&gt;&lt;citation.value38&gt;, &lt;/citation.value38&gt;&lt;citation.key39&gt;RequiredComma._Pattern&lt;/citation.key39&gt;&lt;citation.value39&gt;RequiredComma.RequiredComma&lt;/citation.value39&gt;&lt;citation.key40&gt;supra&lt;/citation.key40&gt;&lt;citation.value40&gt;&lt;/citation.value40&gt;&lt;citation.key41&gt;supra.,&lt;/citation.key41&gt;&lt;citation.value41&gt;, &lt;/citation.value41&gt;&lt;citation.key42&gt;supra._Pattern&lt;/citation.key42&gt;&lt;citation.value42&gt;ShortCaseSupra.ShortCaseSupra&lt;/citation.value42&gt;&lt;citation.key43&gt;supra.supra&lt;/citation.key43&gt;&lt;citation.value43&gt;supra&lt;/citation.value43&gt;&lt;/citation&gt;_x000a_"/>
    <w:docVar w:name="CITRUS_BOOKMARK49[0]" w:val="&lt;#1&gt;&lt;citation&gt;&lt;citation._original_string&gt;Imperial Residential Design, Inc. v. Palms Dev. Group, Inc., 70 F.3d 96, 99 (11th Cir. 1995)&lt;/citation._original_string&gt;&lt;citation._current_string&gt;Imperial Residential Design v. Palms Dev. Group, 70 F.3d 96, 99 (11th Cir. 1995)&lt;/citation._current_string&gt;&lt;citation._full_string&gt;Imperial Residential Design v. Palms Dev. Group, 70 F.3d 96, 99 (11th Cir. 1995)&lt;/citation._full_string&gt;&lt;citation._current_format&gt;Full.CaseCitation&lt;/citation._current_format&gt;&lt;citation.name&gt;&lt;/citation.name&gt;&lt;citation.key0&gt;,&lt;/citation.key0&gt;&lt;citation.value0&gt;,&lt;/citation.value0&gt;&lt;citation.key1&gt;CaseName.FirstParty&lt;/citation.key1&gt;&lt;citation.value1&gt;Imperial Residential Design&lt;/citation.value1&gt;&lt;citation.key2&gt;CaseName.FirstParty.Party&lt;/citation.key2&gt;&lt;citation.value2&gt;Imperial Residential Design&lt;/citation.value2&gt;&lt;citation.key3&gt;CaseName.FirstParty._Pattern&lt;/citation.key3&gt;&lt;citation.value3&gt;Party.Party&lt;/citation.value3&gt;&lt;citation.key4&gt;CaseName.SecondParty&lt;/citation.key4&gt;&lt;citation.value4&gt;Palms Dev. Group&lt;/citation.value4&gt;&lt;citation.key5&gt;CaseName.SecondParty.Party&lt;/citation.key5&gt;&lt;citation.value5&gt;Palms Dev. Group&lt;/citation.value5&gt;&lt;citation.key6&gt;CaseName.SecondParty._Pattern&lt;/citation.key6&gt;&lt;citation.value6&gt;Party.Party&lt;/citation.value6&gt;&lt;citation.key7&gt;CaseName._Pattern&lt;/citation.key7&gt;&lt;citation.value7&gt;&lt;/citation.value7&gt;&lt;citation.key8&gt;CourtParenthetical&lt;/citation.key8&gt;&lt;citation.value8&gt; (11th Cir. 1995) &lt;/citation.value8&gt;&lt;citation.key9&gt;CourtParenthetical.CourtName&lt;/citation.key9&gt;&lt;citation.value9&gt;11th Cir. &lt;/citation.value9&gt;&lt;citation.key10&gt;CourtParenthetical.CourtName.CourtName&lt;/citation.key10&gt;&lt;citation.value10&gt;11th Cir.&lt;/citation.value10&gt;&lt;citation.key11&gt;CourtParenthetical.CourtName._Pattern&lt;/citation.key11&gt;&lt;citation.value11&gt;CourtName.CourtName&lt;/citation.value11&gt;&lt;citation.key12&gt;CourtParenthetical.Date.Year&lt;/citation.key12&gt;&lt;citation.value12&gt;1995&lt;/citation.value12&gt;&lt;citation.key13&gt;CourtParenthetical.Date.Year.Year&lt;/citation.key13&gt;&lt;citation.value13&gt;199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70 F.3d 96, 99&lt;/citation.value30&gt;&lt;citation.key31&gt;Reporter.FirstPage&lt;/citation.key31&gt;&lt;citation.value31&gt;96&lt;/citation.value31&gt;&lt;citation.key32&gt;Reporter.Name&lt;/citation.key32&gt;&lt;citation.value32&gt;F.3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70&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99&lt;/citation.value40&gt;&lt;citation.key41&gt;Reporter.__PinPages.First&lt;/citation.key41&gt;&lt;citation.value41&gt;99&lt;/citation.value41&gt;&lt;citation.key42&gt;Reporter.__PinPages.First._Pattern&lt;/citation.key42&gt;&lt;citation.value42&gt;FirstPageInRange.FirstPageInRange&lt;/citation.value42&gt;&lt;citation.key43&gt;Reporter.__PinPages.First.__PageNumber&lt;/citation.key43&gt;&lt;citation.value43&gt;99&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51[0]" w:val="&lt;#1&gt;&lt;citation&gt;&lt;citation._original_string&gt;§§ 101(2)&lt;/citation._original_string&gt;&lt;citation._current_string&gt;17 U.S.C. § 101(2)&lt;/citation._current_string&gt;&lt;citation._full_string&gt;17 U.S.C. §101(2)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2)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2)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2) &lt;/citation.value13&gt;&lt;citation.key14&gt;USCCodeCitation.__SectionOrSections.SectionNumberList.SectionNumberScalarOrRange&lt;/citation.key14&gt;&lt;citation.value14&gt;101(2) &lt;/citation.value14&gt;&lt;citation.key15&gt;USCCodeCitation.__SectionOrSections.SectionNumberList.SectionNumberScalarOrRange.SectionNumber&lt;/citation.key15&gt;&lt;citation.value15&gt;101(2)&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52[0]" w:val="&lt;#1&gt;&lt;citation&gt;&lt;citation._original_string&gt;Compaq Computer Corp. v. Ergonome Inc., 210 F. Supp. 2d 839 (S.D. Tex. 2001)&lt;/citation._original_string&gt;&lt;citation._current_string&gt;Compaq Computer Corp. v. Ergonome Inc., 210 F. Supp. 2d 839 (S.D. Tex. 2001)&lt;/citation._current_string&gt;&lt;citation._full_string&gt;Compaq Computer Corp. v. Ergonome Inc., 210 F. Supp. 2d 839 (S.D. Tex. 2001)&lt;/citation._full_string&gt;&lt;citation._current_format&gt;Full.CaseCitation&lt;/citation._current_format&gt;&lt;citation.name&gt;&lt;/citation.name&gt;&lt;citation.key0&gt;,&lt;/citation.key0&gt;&lt;citation.value0&gt;,&lt;/citation.value0&gt;&lt;citation.key1&gt;CaseName.FirstParty&lt;/citation.key1&gt;&lt;citation.value1&gt;Compaq Computer Corp.&lt;/citation.value1&gt;&lt;citation.key2&gt;CaseName.FirstParty.Party&lt;/citation.key2&gt;&lt;citation.value2&gt;Compaq Computer Corp.&lt;/citation.value2&gt;&lt;citation.key3&gt;CaseName.FirstParty._Pattern&lt;/citation.key3&gt;&lt;citation.value3&gt;Party.Party&lt;/citation.value3&gt;&lt;citation.key4&gt;CaseName.SecondParty&lt;/citation.key4&gt;&lt;citation.value4&gt;Ergonome Inc.&lt;/citation.value4&gt;&lt;citation.key5&gt;CaseName.SecondParty.Party&lt;/citation.key5&gt;&lt;citation.value5&gt;Ergonome Inc.&lt;/citation.value5&gt;&lt;citation.key6&gt;CaseName.SecondParty._Pattern&lt;/citation.key6&gt;&lt;citation.value6&gt;Party.Party&lt;/citation.value6&gt;&lt;citation.key7&gt;CaseName._Pattern&lt;/citation.key7&gt;&lt;citation.value7&gt;&lt;/citation.value7&gt;&lt;citation.key8&gt;CourtParenthetical&lt;/citation.key8&gt;&lt;citation.value8&gt; (S.D. Tex. 2001) &lt;/citation.value8&gt;&lt;citation.key9&gt;CourtParenthetical.CourtName&lt;/citation.key9&gt;&lt;citation.value9&gt;S.D. Tex. &lt;/citation.value9&gt;&lt;citation.key10&gt;CourtParenthetical.CourtName.CourtName&lt;/citation.key10&gt;&lt;citation.value10&gt;S.D. Tex.&lt;/citation.value10&gt;&lt;citation.key11&gt;CourtParenthetical.CourtName._Pattern&lt;/citation.key11&gt;&lt;citation.value11&gt;CourtName.CourtName&lt;/citation.value11&gt;&lt;citation.key12&gt;CourtParenthetical.Date.Year&lt;/citation.key12&gt;&lt;citation.value12&gt;2001&lt;/citation.value12&gt;&lt;citation.key13&gt;CourtParenthetical.Date.Year.Year&lt;/citation.key13&gt;&lt;citation.value13&gt;2001&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210 F. Supp. 2d 839 &lt;/citation.value30&gt;&lt;citation.key31&gt;Reporter.FirstPage&lt;/citation.key31&gt;&lt;citation.value31&gt;839&lt;/citation.value31&gt;&lt;citation.key32&gt;Reporter.Name&lt;/citation.key32&gt;&lt;citation.value32&gt;F. Supp. 2d&lt;/citation.value32&gt;&lt;citation.key33&gt;Reporter.Volume&lt;/citation.key33&gt;&lt;citation.value33&gt;210&lt;/citation.value33&gt;&lt;citation.key34&gt;Reporter.[&lt;/citation.key34&gt;&lt;citation.value34&gt;[&lt;/citation.value34&gt;&lt;citation.key35&gt;Reporter.]&lt;/citation.key35&gt;&lt;citation.value35&gt;]&lt;/citation.value35&gt;&lt;citation.key36&gt;Reporter._Pattern&lt;/citation.key36&gt;&lt;citation.value36&gt;Reporter.Reporter&lt;/citation.value36&gt;&lt;citation.key37&gt;Reporter.page&lt;/citation.key37&gt;&lt;citation.value37&gt;page&lt;/citation.value37&gt;&lt;citation.key38&gt;RequiredComma&lt;/citation.key38&gt;&lt;citation.value38&gt;, &lt;/citation.value38&gt;&lt;citation.key39&gt;RequiredComma._Pattern&lt;/citation.key39&gt;&lt;citation.value39&gt;RequiredComma.RequiredComma&lt;/citation.value39&gt;&lt;citation.key40&gt;supra&lt;/citation.key40&gt;&lt;citation.value40&gt;&lt;/citation.value40&gt;&lt;citation.key41&gt;supra.,&lt;/citation.key41&gt;&lt;citation.value41&gt;, &lt;/citation.value41&gt;&lt;citation.key42&gt;supra._Pattern&lt;/citation.key42&gt;&lt;citation.value42&gt;ShortCaseSupra.ShortCaseSupra&lt;/citation.value42&gt;&lt;citation.key43&gt;supra.supra&lt;/citation.key43&gt;&lt;citation.value43&gt;supra&lt;/citation.value43&gt;&lt;/citation&gt;_x000a_"/>
    <w:docVar w:name="CITRUS_BOOKMARK53[0]" w:val="&lt;#1&gt;&lt;citation&gt;&lt;citation._original_string&gt;Gladwell Gov’t Servs., Inc. v. Cnty. of Marin, 265 F. Appx. 624, 626 (9th Cir. 2008)&lt;/citation._original_string&gt;&lt;citation._current_string&gt;Gladwell Gov't Servs. v. County of Marin, 265 F. App'x 624, 626 (9th Cir. 2008)&lt;/citation._current_string&gt;&lt;citation._full_string&gt;Gladwell Gov't Servs. v. County of Marin, 265 F. App'x 624, 626 (9th Cir. 2008)&lt;/citation._full_string&gt;&lt;citation._current_format&gt;Full.CaseCitation&lt;/citation._current_format&gt;&lt;citation.name&gt;&lt;/citation.name&gt;&lt;citation.key0&gt;,&lt;/citation.key0&gt;&lt;citation.value0&gt;,&lt;/citation.value0&gt;&lt;citation.key1&gt;CaseName.FirstParty&lt;/citation.key1&gt;&lt;citation.value1&gt;Gladwell Gov't Servs.&lt;/citation.value1&gt;&lt;citation.key2&gt;CaseName.FirstParty.Party&lt;/citation.key2&gt;&lt;citation.value2&gt;Gladwell Gov't Servs.&lt;/citation.value2&gt;&lt;citation.key3&gt;CaseName.FirstParty._Pattern&lt;/citation.key3&gt;&lt;citation.value3&gt;Party.Party&lt;/citation.value3&gt;&lt;citation.key4&gt;CaseName.SecondParty&lt;/citation.key4&gt;&lt;citation.value4&gt;County of Marin&lt;/citation.value4&gt;&lt;citation.key5&gt;CaseName.SecondParty.Party&lt;/citation.key5&gt;&lt;citation.value5&gt;County of Marin&lt;/citation.value5&gt;&lt;citation.key6&gt;CaseName.SecondParty._Pattern&lt;/citation.key6&gt;&lt;citation.value6&gt;Party.Party&lt;/citation.value6&gt;&lt;citation.key7&gt;CaseName._Pattern&lt;/citation.key7&gt;&lt;citation.value7&gt;&lt;/citation.value7&gt;&lt;citation.key8&gt;CourtParenthetical&lt;/citation.key8&gt;&lt;citation.value8&gt; (9th Cir. 2008) &lt;/citation.value8&gt;&lt;citation.key9&gt;CourtParenthetical.CourtName&lt;/citation.key9&gt;&lt;citation.value9&gt;9th Cir. &lt;/citation.value9&gt;&lt;citation.key10&gt;CourtParenthetical.CourtName.CourtName&lt;/citation.key10&gt;&lt;citation.value10&gt;9th Cir.&lt;/citation.value10&gt;&lt;citation.key11&gt;CourtParenthetical.CourtName._Pattern&lt;/citation.key11&gt;&lt;citation.value11&gt;CourtName.CourtName&lt;/citation.value11&gt;&lt;citation.key12&gt;CourtParenthetical.Date.Year&lt;/citation.key12&gt;&lt;citation.value12&gt;2008&lt;/citation.value12&gt;&lt;citation.key13&gt;CourtParenthetical.Date.Year.Year&lt;/citation.key13&gt;&lt;citation.value13&gt;2008&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265 F. App'x 624, 626&lt;/citation.value30&gt;&lt;citation.key31&gt;Reporter.FirstPage&lt;/citation.key31&gt;&lt;citation.value31&gt;624&lt;/citation.value31&gt;&lt;citation.key32&gt;Reporter.Name&lt;/citation.key32&gt;&lt;citation.value32&gt;F. App'x&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265&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626&lt;/citation.value40&gt;&lt;citation.key41&gt;Reporter.__PinPages.First&lt;/citation.key41&gt;&lt;citation.value41&gt;626&lt;/citation.value41&gt;&lt;citation.key42&gt;Reporter.__PinPages.First._Pattern&lt;/citation.key42&gt;&lt;citation.value42&gt;FirstPageInRange.FirstPageInRange&lt;/citation.value42&gt;&lt;citation.key43&gt;Reporter.__PinPages.First.__PageNumber&lt;/citation.key43&gt;&lt;citation.value43&gt;626&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54[0]" w:val="&lt;#1&gt;&lt;citation&gt;&lt;citation._original_string&gt;§ 101&lt;/citation._original_string&gt;&lt;citation._current_string&gt;17 U.S.C. § 101&lt;/citation._current_string&gt;&lt;citation._full_string&gt;17 U.S.C. §1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55[0]" w:val="&lt;#1&gt;&lt;citation&gt;&lt;citation._original_string&gt;Id&lt;/citation._original_string&gt;&lt;citation._current_string&gt;Id.&lt;/citation._current_string&gt;&lt;citation._full_string&gt;17 U.S.C. §101 (2006)&lt;/citation._full_string&gt;&lt;citation._current_format&gt;Id.USCUId&lt;/citation._current_format&gt;&lt;citation.name&gt;&lt;/citation.name&gt;&lt;citation.key0&gt;Id&lt;/citation.key0&gt;&lt;citation.value0&gt;Id. &lt;/citation.value0&gt;&lt;citation.key1&gt;Id.ForbiddenComma._Pattern&lt;/citation.key1&gt;&lt;citation.value1&gt;ForbiddenComma.ForbiddenComma&lt;/citation.value1&gt;&lt;citation.key2&gt;Id.Id&lt;/citation.key2&gt;&lt;citation.value2&gt;Id.&lt;/citation.value2&gt;&lt;citation.key3&gt;Id._Pattern&lt;/citation.key3&gt;&lt;citation.value3&gt;IdGraph.IdGraph&lt;/citation.value3&gt;&lt;citation.key4&gt;USCCodeCitation&lt;/citation.key4&gt;&lt;citation.value4&gt;17 U.S.C. §101 &lt;/citation.value4&gt;&lt;citation.key5&gt;USCCodeCitation.USCTitleAndCode&lt;/citation.key5&gt;&lt;citation.value5&gt;17 U.S.C. &lt;/citation.value5&gt;&lt;citation.key6&gt;USCCodeCitation.USCTitleAndCode.USC&lt;/citation.key6&gt;&lt;citation.value6&gt;U.S.C.&lt;/citation.value6&gt;&lt;citation.key7&gt;USCCodeCitation.USCTitleAndCode.Volume&lt;/citation.key7&gt;&lt;citation.value7&gt;17&lt;/citation.value7&gt;&lt;citation.key8&gt;USCCodeCitation.USCTitleAndCode._Pattern&lt;/citation.key8&gt;&lt;citation.value8&gt;USCTitleAndCode.USCTitleAndCode&lt;/citation.value8&gt;&lt;citation.key9&gt;USCCodeCitation._Pattern&lt;/citation.key9&gt;&lt;citation.value9&gt;USCCodeCitation.USCCodeCitation&lt;/citation.value9&gt;&lt;citation.key10&gt;USCCodeCitation.__SectionOrSections&lt;/citation.key10&gt;&lt;citation.value10&gt;§  101 &lt;/citation.value10&gt;&lt;citation.key11&gt;USCCodeCitation.__SectionOrSections.RequiredSectionSymbol&lt;/citation.key11&gt;&lt;citation.value11&gt; §&lt;/citation.value11&gt;&lt;citation.key12&gt;USCCodeCitation.__SectionOrSections.RequiredSectionSymbol.SectionSymbol&lt;/citation.key12&gt;&lt;citation.value12&gt; §&lt;/citation.value12&gt;&lt;citation.key13&gt;USCCodeCitation.__SectionOrSections.RequiredSectionSymbol._Pattern&lt;/citation.key13&gt;&lt;citation.value13&gt;RequiredSectionSymbol.RequiredSectionSymbol&lt;/citation.value13&gt;&lt;citation.key14&gt;USCCodeCitation.__SectionOrSections.SectionNumberList&lt;/citation.key14&gt;&lt;citation.value14&gt;101 &lt;/citation.value14&gt;&lt;citation.key15&gt;USCCodeCitation.__SectionOrSections.SectionNumberList.SectionNumberScalarOrRange&lt;/citation.key15&gt;&lt;citation.value15&gt;101 &lt;/citation.value15&gt;&lt;citation.key16&gt;USCCodeCitation.__SectionOrSections.SectionNumberList.SectionNumberScalarOrRange.SectionNumber&lt;/citation.key16&gt;&lt;citation.value16&gt;101&lt;/citation.value16&gt;&lt;citation.key17&gt;USCCodeCitation.__SectionOrSections.SectionNumberList.SectionNumberScalarOrRange._Pattern&lt;/citation.key17&gt;&lt;citation.value17&gt;SectionNumberScalarOrRange.SectionNumberScalarOrRange&lt;/citation.value17&gt;&lt;citation.key18&gt;USCCodeCitation.__SectionOrSections.SectionNumberList._Pattern&lt;/citation.key18&gt;&lt;citation.value18&gt;SectionNumberList.SectionNumberList&lt;/citation.value18&gt;&lt;citation.key19&gt;USCCodeCitation.__SectionOrSections._Pattern&lt;/citation.key19&gt;&lt;citation.value19&gt;Section!OrSections.Section!OrSections&lt;/citation.value19&gt;&lt;citation.key20&gt;__ActNameAndSection._Pattern&lt;/citation.key20&gt;&lt;citation.value20&gt;ActNameAndSection.ActNameAndSection&lt;/citation.value20&gt;&lt;citation.key21&gt;__AfterStatutoryCite&lt;/citation.key21&gt;&lt;citation.value21&gt; (2006)&lt;/citation.value21&gt;&lt;citation.key22&gt;__AfterStatutoryCite.StatutoryCodeEditionCite&lt;/citation.key22&gt;&lt;citation.value22&gt;(2006)&lt;/citation.value22&gt;&lt;citation.key23&gt;__AfterStatutoryCite.StatutoryCodeEditionCite.(&lt;/citation.key23&gt;&lt;citation.value23&gt;(&lt;/citation.value23&gt;&lt;citation.key24&gt;__AfterStatutoryCite.StatutoryCodeEditionCite.)&lt;/citation.key24&gt;&lt;citation.value24&gt;)&lt;/citation.value24&gt;&lt;citation.key25&gt;__AfterStatutoryCite.StatutoryCodeEditionCite.StatutoryCodeEdition&lt;/citation.key25&gt;&lt;citation.value25&gt;2006&lt;/citation.value25&gt;&lt;citation.key26&gt;__AfterStatutoryCite.StatutoryCodeEditionCite.StatutoryCodeEdition.Publisher&lt;/citation.key26&gt;&lt;citation.value26&gt;&lt;/citation.value26&gt;&lt;citation.key27&gt;__AfterStatutoryCite.StatutoryCodeEditionCite.StatutoryCodeEdition.Year&lt;/citation.key27&gt;&lt;citation.value27&gt;2006&lt;/citation.value27&gt;&lt;citation.key28&gt;__AfterStatutoryCite.StatutoryCodeEditionCite.StatutoryCodeEdition.Year.Year&lt;/citation.key28&gt;&lt;citation.value28&gt;2006&lt;/citation.value28&gt;&lt;citation.key29&gt;__AfterStatutoryCite.StatutoryCodeEditionCite.StatutoryCodeEdition.Year._Pattern&lt;/citation.key29&gt;&lt;citation.value29&gt;Year.Year&lt;/citation.value29&gt;&lt;citation.key30&gt;__AfterStatutoryCite.StatutoryCodeEditionCite.StatutoryCodeEdition._Pattern&lt;/citation.key30&gt;&lt;citation.value30&gt;StatutoryCodeEdition.StatutoryCodeEdition&lt;/citation.value30&gt;&lt;citation.key31&gt;__AfterStatutoryCite.StatutoryCodeEditionCite._Pattern&lt;/citation.key31&gt;&lt;citation.value31&gt;StatutoryCodeEditionCite.StatutoryCodeEditionCite&lt;/citation.value31&gt;&lt;citation.key32&gt;__AfterStatutoryCite._Pattern&lt;/citation.key32&gt;&lt;citation.value32&gt;AfterStatutoryCite.AfterStatutoryCite&lt;/citation.value32&gt;&lt;citation.key33&gt;__StatuteParentheticals._Pattern&lt;/citation.key33&gt;&lt;citation.value33&gt;StatuteParentheticals.StatuteParentheticals&lt;/citation.value33&gt;&lt;/citation&gt;_x000a_"/>
    <w:docVar w:name="CITRUS_BOOKMARK56[0]" w:val="&lt;#1&gt;&lt;citation&gt;&lt;citation._original_string&gt;Zyware, Inc. v. Middlegate, Inc., 96 CIV. 2348 (SHS), 1997 WL 685336 (S.D.N.Y. Nov. 4, 1997)&lt;/citation._original_string&gt;&lt;citation._current_string&gt;Id.&lt;/citation._current_string&gt;&lt;citation._full_string&gt;Zyware, Inc. v. Middlegate, Inc., 96 CIV. 2348 (SHS), , 1997 WL 685336 (S.D.N.Y. Nov. 4, 1997)&lt;/citation._full_string&gt;&lt;citation._current_format&gt;Id.UnreportedCaseUId&lt;/citation._current_format&gt;&lt;citation.name&gt;&lt;/citation.name&gt;&lt;citation.key0&gt;CaseName&lt;/citation.key0&gt;&lt;citation.value0&gt;Zyware, Inc. v. Middlegate, Inc., 96 CIV. 2348 (SHS) &lt;/citation.value0&gt;&lt;citation.key1&gt;CaseName.FirstParty&lt;/citation.key1&gt;&lt;citation.value1&gt;Zyware, Inc. &lt;/citation.value1&gt;&lt;citation.key2&gt;CaseName.FirstParty.Party&lt;/citation.key2&gt;&lt;citation.value2&gt;Zyware, Inc.&lt;/citation.value2&gt;&lt;citation.key3&gt;CaseName.FirstParty._Pattern&lt;/citation.key3&gt;&lt;citation.value3&gt;Party.Party&lt;/citation.value3&gt;&lt;citation.key4&gt;CaseName.Nickname&lt;/citation.key4&gt;&lt;citation.value4&gt; (SHS) &lt;/citation.value4&gt;&lt;citation.key5&gt;CaseName.Nickname.(&lt;/citation.key5&gt;&lt;citation.value5&gt;(&lt;/citation.value5&gt;&lt;citation.key6&gt;CaseName.Nickname.)&lt;/citation.key6&gt;&lt;citation.value6&gt;)&lt;/citation.value6&gt;&lt;citation.key7&gt;CaseName.Nickname.Nickname&lt;/citation.key7&gt;&lt;citation.value7&gt;SHS&lt;/citation.value7&gt;&lt;citation.key8&gt;CaseName.Nickname._Pattern&lt;/citation.key8&gt;&lt;citation.value8&gt;Nickname.Nickname&lt;/citation.value8&gt;&lt;citation.key9&gt;CaseName.SecondParty&lt;/citation.key9&gt;&lt;citation.value9&gt;Middlegate, Inc., 96 CIV. 2348 &lt;/citation.value9&gt;&lt;citation.key10&gt;CaseName.SecondParty.Party&lt;/citation.key10&gt;&lt;citation.value10&gt;Middlegate, Inc., 96 CIV. 2348&lt;/citation.value10&gt;&lt;citation.key11&gt;CaseName.SecondParty._Pattern&lt;/citation.key11&gt;&lt;citation.value11&gt;Party.Party&lt;/citation.value11&gt;&lt;citation.key12&gt;CaseName._Pattern&lt;/citation.key12&gt;&lt;citation.value12&gt;CaseName.CaseName&lt;/citation.value12&gt;&lt;citation.key13&gt;CaseName.v&lt;/citation.key13&gt;&lt;citation.value13&gt;v.&lt;/citation.value13&gt;&lt;citation.key14&gt;CourtParenthetical&lt;/citation.key14&gt;&lt;citation.value14&gt; (S.D.N.Y. Nov. 4, 1997) &lt;/citation.value14&gt;&lt;citation.key15&gt;CourtParenthetical.CourtName&lt;/citation.key15&gt;&lt;citation.value15&gt;S.D.N.Y. &lt;/citation.value15&gt;&lt;citation.key16&gt;CourtParenthetical.CourtName.CourtName&lt;/citation.key16&gt;&lt;citation.value16&gt;S.D.N.Y.&lt;/citation.value16&gt;&lt;citation.key17&gt;CourtParenthetical.CourtName._Pattern&lt;/citation.key17&gt;&lt;citation.value17&gt;CourtName.CourtName&lt;/citation.value17&gt;&lt;citation.key18&gt;CourtParenthetical.Date&lt;/citation.key18&gt;&lt;citation.value18&gt;Nov. 4, 1997 &lt;/citation.value18&gt;&lt;citation.key19&gt;CourtParenthetical.Date.,&lt;/citation.key19&gt;&lt;citation.value19&gt;,&lt;/citation.value19&gt;&lt;citation.key20&gt;CourtParenthetical.Date.Day&lt;/citation.key20&gt;&lt;citation.value20&gt;4&lt;/citation.value20&gt;&lt;citation.key21&gt;CourtParenthetical.Date.Month&lt;/citation.key21&gt;&lt;citation.value21&gt;Nov.&lt;/citation.value21&gt;&lt;citation.key22&gt;CourtParenthetical.Date.Year&lt;/citation.key22&gt;&lt;citation.value22&gt;1997 &lt;/citation.value22&gt;&lt;citation.key23&gt;CourtParenthetical.Date.Year.Year&lt;/citation.key23&gt;&lt;citation.value23&gt;1997&lt;/citation.value23&gt;&lt;citation.key24&gt;CourtParenthetical.Date.Year._Pattern&lt;/citation.key24&gt;&lt;citation.value24&gt;Year.Year&lt;/citation.value24&gt;&lt;citation.key25&gt;CourtParenthetical.Date._Pattern&lt;/citation.key25&gt;&lt;citation.value25&gt;Date.Date&lt;/citation.value25&gt;&lt;citation.key26&gt;CourtParenthetical.ForbiddenComma._Pattern&lt;/citation.key26&gt;&lt;citation.value26&gt;ForbiddenComma.ForbiddenComma&lt;/citation.value26&gt;&lt;citation.key27&gt;CourtParenthetical.Switch ( [ L&lt;/citation.key27&gt;&lt;citation.value27&gt; (&lt;/citation.value27&gt;&lt;citation.key28&gt;CourtParenthetical.Switch ( [ L.(&lt;/citation.key28&gt;&lt;citation.value28&gt;(&lt;/citation.value28&gt;&lt;citation.key29&gt;CourtParenthetical.Switch ( [ L._Pattern&lt;/citation.key29&gt;&lt;citation.value29&gt;Switch ( [ L.Switch ( [ L&lt;/citation.value29&gt;&lt;citation.key30&gt;CourtParenthetical.Switch ) ] R&lt;/citation.key30&gt;&lt;citation.value30&gt;) &lt;/citation.value30&gt;&lt;citation.key31&gt;CourtParenthetical.Switch ) ] R.)&lt;/citation.key31&gt;&lt;citation.value31&gt;)&lt;/citation.value31&gt;&lt;citation.key32&gt;CourtParenthetical.Switch ) ] R._Pattern&lt;/citation.key32&gt;&lt;citation.value32&gt;Switch ) ] R.Switch ) ] R&lt;/citation.value32&gt;&lt;citation.key33&gt;CourtParenthetical._Pattern&lt;/citation.key33&gt;&lt;citation.value33&gt;CourtParenthetical.CourtParenthetical&lt;/citation.value33&gt;&lt;citation.key34&gt;Id&lt;/citation.key34&gt;&lt;citation.value34&gt;Id. &lt;/citation.value34&gt;&lt;citation.key35&gt;Id.Id&lt;/citation.key35&gt;&lt;citation.value35&gt;Id.&lt;/citation.value35&gt;&lt;citation.key36&gt;Id._Pattern&lt;/citation.key36&gt;&lt;citation.value36&gt;IdGraph.IdGraph&lt;/citation.value36&gt;&lt;citation.key37&gt;RequiredComma._Pattern&lt;/citation.key37&gt;&lt;citation.value37&gt;RequiredComma.RequiredComma&lt;/citation.value37&gt;&lt;citation.key38&gt;UnreportedCase&lt;/citation.key38&gt;&lt;citation.value38&gt;, 1997 WL 685336 &lt;/citation.value38&gt;&lt;citation.key39&gt;UnreportedCase.,&lt;/citation.key39&gt;&lt;citation.value39&gt;,&lt;/citation.value39&gt;&lt;citation.key40&gt;UnreportedCase.Database&lt;/citation.key40&gt;&lt;citation.value40&gt;1997 WL 685336 &lt;/citation.value40&gt;&lt;citation.key41&gt;UnreportedCase.Database.DBReference&lt;/citation.key41&gt;&lt;citation.value41&gt;1997 WL 685336 &lt;/citation.value41&gt;&lt;citation.key42&gt;UnreportedCase.Database.DBReference.DBNumber&lt;/citation.key42&gt;&lt;citation.value42&gt;685336&lt;/citation.value42&gt;&lt;citation.key43&gt;UnreportedCase.Database.DBReference.WL&lt;/citation.key43&gt;&lt;citation.value43&gt;WL&lt;/citation.value43&gt;&lt;citation.key44&gt;UnreportedCase.Database.DBReference.Year&lt;/citation.key44&gt;&lt;citation.value44&gt;1997 &lt;/citation.value44&gt;&lt;citation.key45&gt;UnreportedCase.Database.DBReference.Year.Year&lt;/citation.key45&gt;&lt;citation.value45&gt;1997&lt;/citation.value45&gt;&lt;citation.key46&gt;UnreportedCase.Database.DBReference.Year._Pattern&lt;/citation.key46&gt;&lt;citation.value46&gt;Year.Year&lt;/citation.value46&gt;&lt;citation.key47&gt;UnreportedCase.Database.DBReference._Pattern&lt;/citation.key47&gt;&lt;citation.value47&gt;Case_DatabaseReference.Case_DatabaseReference&lt;/citation.value47&gt;&lt;citation.key48&gt;UnreportedCase.Database._Pattern&lt;/citation.key48&gt;&lt;citation.value48&gt;Case_DatabaseList.Case_DatabaseList&lt;/citation.value48&gt;&lt;citation.key49&gt;UnreportedCase._Pattern&lt;/citation.key49&gt;&lt;citation.value49&gt;UnreportedCase.UnreportedCase&lt;/citation.value49&gt;&lt;/citation&gt;_x000a_"/>
    <w:docVar w:name="CITRUS_BOOKMARK57[0]" w:val="&lt;#1&gt;&lt;citation&gt;&lt;citation._original_string&gt;Id&lt;/citation._original_string&gt;&lt;citation._current_string&gt;Id.&lt;/citation._current_string&gt;&lt;citation._full_string&gt;Zyware, Inc. v. Middlegate, Inc., 96 CIV. 2348 (SHS), , 1997 WL 685336 (S.D.N.Y. Nov. 4, 1997)&lt;/citation._full_string&gt;&lt;citation._current_format&gt;Id.UnreportedCaseUId&lt;/citation._current_format&gt;&lt;citation.name&gt;&lt;/citation.name&gt;&lt;citation.key0&gt;CaseName&lt;/citation.key0&gt;&lt;citation.value0&gt;Zyware, Inc. v. Middlegate, Inc., 96 CIV. 2348 (SHS) &lt;/citation.value0&gt;&lt;citation.key1&gt;CaseName.FirstParty&lt;/citation.key1&gt;&lt;citation.value1&gt;Zyware, Inc. &lt;/citation.value1&gt;&lt;citation.key2&gt;CaseName.FirstParty.Party&lt;/citation.key2&gt;&lt;citation.value2&gt;Zyware, Inc.&lt;/citation.value2&gt;&lt;citation.key3&gt;CaseName.FirstParty._Pattern&lt;/citation.key3&gt;&lt;citation.value3&gt;Party.Party&lt;/citation.value3&gt;&lt;citation.key4&gt;CaseName.Nickname&lt;/citation.key4&gt;&lt;citation.value4&gt; (SHS) &lt;/citation.value4&gt;&lt;citation.key5&gt;CaseName.Nickname.(&lt;/citation.key5&gt;&lt;citation.value5&gt;(&lt;/citation.value5&gt;&lt;citation.key6&gt;CaseName.Nickname.)&lt;/citation.key6&gt;&lt;citation.value6&gt;)&lt;/citation.value6&gt;&lt;citation.key7&gt;CaseName.Nickname.Nickname&lt;/citation.key7&gt;&lt;citation.value7&gt;SHS&lt;/citation.value7&gt;&lt;citation.key8&gt;CaseName.Nickname._Pattern&lt;/citation.key8&gt;&lt;citation.value8&gt;Nickname.Nickname&lt;/citation.value8&gt;&lt;citation.key9&gt;CaseName.SecondParty&lt;/citation.key9&gt;&lt;citation.value9&gt;Middlegate, Inc., 96 CIV. 2348 &lt;/citation.value9&gt;&lt;citation.key10&gt;CaseName.SecondParty.Party&lt;/citation.key10&gt;&lt;citation.value10&gt;Middlegate, Inc., 96 CIV. 2348&lt;/citation.value10&gt;&lt;citation.key11&gt;CaseName.SecondParty._Pattern&lt;/citation.key11&gt;&lt;citation.value11&gt;Party.Party&lt;/citation.value11&gt;&lt;citation.key12&gt;CaseName._Pattern&lt;/citation.key12&gt;&lt;citation.value12&gt;CaseName.CaseName&lt;/citation.value12&gt;&lt;citation.key13&gt;CaseName.v&lt;/citation.key13&gt;&lt;citation.value13&gt;v.&lt;/citation.value13&gt;&lt;citation.key14&gt;CourtParenthetical&lt;/citation.key14&gt;&lt;citation.value14&gt; (S.D.N.Y. Nov. 4, 1997) &lt;/citation.value14&gt;&lt;citation.key15&gt;CourtParenthetical.CourtName&lt;/citation.key15&gt;&lt;citation.value15&gt;S.D.N.Y. &lt;/citation.value15&gt;&lt;citation.key16&gt;CourtParenthetical.CourtName.CourtName&lt;/citation.key16&gt;&lt;citation.value16&gt;S.D.N.Y.&lt;/citation.value16&gt;&lt;citation.key17&gt;CourtParenthetical.CourtName._Pattern&lt;/citation.key17&gt;&lt;citation.value17&gt;CourtName.CourtName&lt;/citation.value17&gt;&lt;citation.key18&gt;CourtParenthetical.Date&lt;/citation.key18&gt;&lt;citation.value18&gt;Nov. 4, 1997 &lt;/citation.value18&gt;&lt;citation.key19&gt;CourtParenthetical.Date.,&lt;/citation.key19&gt;&lt;citation.value19&gt;,&lt;/citation.value19&gt;&lt;citation.key20&gt;CourtParenthetical.Date.Day&lt;/citation.key20&gt;&lt;citation.value20&gt;4&lt;/citation.value20&gt;&lt;citation.key21&gt;CourtParenthetical.Date.Month&lt;/citation.key21&gt;&lt;citation.value21&gt;Nov.&lt;/citation.value21&gt;&lt;citation.key22&gt;CourtParenthetical.Date.Year&lt;/citation.key22&gt;&lt;citation.value22&gt;1997 &lt;/citation.value22&gt;&lt;citation.key23&gt;CourtParenthetical.Date.Year.Year&lt;/citation.key23&gt;&lt;citation.value23&gt;1997&lt;/citation.value23&gt;&lt;citation.key24&gt;CourtParenthetical.Date.Year._Pattern&lt;/citation.key24&gt;&lt;citation.value24&gt;Year.Year&lt;/citation.value24&gt;&lt;citation.key25&gt;CourtParenthetical.Date._Pattern&lt;/citation.key25&gt;&lt;citation.value25&gt;Date.Date&lt;/citation.value25&gt;&lt;citation.key26&gt;CourtParenthetical.ForbiddenComma._Pattern&lt;/citation.key26&gt;&lt;citation.value26&gt;ForbiddenComma.ForbiddenComma&lt;/citation.value26&gt;&lt;citation.key27&gt;CourtParenthetical.Switch ( [ L&lt;/citation.key27&gt;&lt;citation.value27&gt; (&lt;/citation.value27&gt;&lt;citation.key28&gt;CourtParenthetical.Switch ( [ L.(&lt;/citation.key28&gt;&lt;citation.value28&gt;(&lt;/citation.value28&gt;&lt;citation.key29&gt;CourtParenthetical.Switch ( [ L._Pattern&lt;/citation.key29&gt;&lt;citation.value29&gt;Switch ( [ L.Switch ( [ L&lt;/citation.value29&gt;&lt;citation.key30&gt;CourtParenthetical.Switch ) ] R&lt;/citation.key30&gt;&lt;citation.value30&gt;) &lt;/citation.value30&gt;&lt;citation.key31&gt;CourtParenthetical.Switch ) ] R.)&lt;/citation.key31&gt;&lt;citation.value31&gt;)&lt;/citation.value31&gt;&lt;citation.key32&gt;CourtParenthetical.Switch ) ] R._Pattern&lt;/citation.key32&gt;&lt;citation.value32&gt;Switch ) ] R.Switch ) ] R&lt;/citation.value32&gt;&lt;citation.key33&gt;CourtParenthetical._Pattern&lt;/citation.key33&gt;&lt;citation.value33&gt;CourtParenthetical.CourtParenthetical&lt;/citation.value33&gt;&lt;citation.key34&gt;Id&lt;/citation.key34&gt;&lt;citation.value34&gt;Id. &lt;/citation.value34&gt;&lt;citation.key35&gt;Id.ForbiddenComma._Pattern&lt;/citation.key35&gt;&lt;citation.value35&gt;ForbiddenComma.ForbiddenComma&lt;/citation.value35&gt;&lt;citation.key36&gt;Id.Id&lt;/citation.key36&gt;&lt;citation.value36&gt;Id.&lt;/citation.value36&gt;&lt;citation.key37&gt;Id._Pattern&lt;/citation.key37&gt;&lt;citation.value37&gt;IdGraph.IdGraph&lt;/citation.value37&gt;&lt;citation.key38&gt;RequiredComma._Pattern&lt;/citation.key38&gt;&lt;citation.value38&gt;RequiredComma.RequiredComma&lt;/citation.value38&gt;&lt;citation.key39&gt;UnreportedCase&lt;/citation.key39&gt;&lt;citation.value39&gt;, 1997 WL 685336 &lt;/citation.value39&gt;&lt;citation.key40&gt;UnreportedCase.,&lt;/citation.key40&gt;&lt;citation.value40&gt;,&lt;/citation.value40&gt;&lt;citation.key41&gt;UnreportedCase.Database&lt;/citation.key41&gt;&lt;citation.value41&gt;1997 WL 685336 &lt;/citation.value41&gt;&lt;citation.key42&gt;UnreportedCase.Database.DBReference&lt;/citation.key42&gt;&lt;citation.value42&gt;1997 WL 685336 &lt;/citation.value42&gt;&lt;citation.key43&gt;UnreportedCase.Database.DBReference.DBNumber&lt;/citation.key43&gt;&lt;citation.value43&gt;685336&lt;/citation.value43&gt;&lt;citation.key44&gt;UnreportedCase.Database.DBReference.WL&lt;/citation.key44&gt;&lt;citation.value44&gt;WL&lt;/citation.value44&gt;&lt;citation.key45&gt;UnreportedCase.Database.DBReference.Year&lt;/citation.key45&gt;&lt;citation.value45&gt;1997 &lt;/citation.value45&gt;&lt;citation.key46&gt;UnreportedCase.Database.DBReference.Year.Year&lt;/citation.key46&gt;&lt;citation.value46&gt;1997&lt;/citation.value46&gt;&lt;citation.key47&gt;UnreportedCase.Database.DBReference.Year._Pattern&lt;/citation.key47&gt;&lt;citation.value47&gt;Year.Year&lt;/citation.value47&gt;&lt;citation.key48&gt;UnreportedCase.Database.DBReference._Pattern&lt;/citation.key48&gt;&lt;citation.value48&gt;Case_DatabaseReference.Case_DatabaseReference&lt;/citation.value48&gt;&lt;citation.key49&gt;UnreportedCase.Database._Pattern&lt;/citation.key49&gt;&lt;citation.value49&gt;Case_DatabaseList.Case_DatabaseList&lt;/citation.value49&gt;&lt;citation.key50&gt;UnreportedCase._Pattern&lt;/citation.key50&gt;&lt;citation.value50&gt;UnreportedCase.UnreportedCase&lt;/citation.value50&gt;&lt;/citation&gt;_x000a_"/>
    <w:docVar w:name="CITRUS_BOOKMARK58[0]" w:val="&lt;#1&gt;&lt;citation&gt;&lt;citation._original_string&gt;Id&lt;/citation._original_string&gt;&lt;citation._current_string&gt;Id.&lt;/citation._current_string&gt;&lt;citation._full_string&gt;Zyware, Inc. v. Middlegate, Inc., 96 CIV. 2348 (SHS), , 1997 WL 685336 (S.D.N.Y. Nov. 4, 1997)&lt;/citation._full_string&gt;&lt;citation._current_format&gt;Id.UnreportedCaseUId&lt;/citation._current_format&gt;&lt;citation.name&gt;&lt;/citation.name&gt;&lt;citation.key0&gt;CaseName&lt;/citation.key0&gt;&lt;citation.value0&gt;Zyware, Inc. v. Middlegate, Inc., 96 CIV. 2348 (SHS) &lt;/citation.value0&gt;&lt;citation.key1&gt;CaseName.FirstParty&lt;/citation.key1&gt;&lt;citation.value1&gt;Zyware, Inc. &lt;/citation.value1&gt;&lt;citation.key2&gt;CaseName.FirstParty.Party&lt;/citation.key2&gt;&lt;citation.value2&gt;Zyware, Inc.&lt;/citation.value2&gt;&lt;citation.key3&gt;CaseName.FirstParty._Pattern&lt;/citation.key3&gt;&lt;citation.value3&gt;Party.Party&lt;/citation.value3&gt;&lt;citation.key4&gt;CaseName.Nickname&lt;/citation.key4&gt;&lt;citation.value4&gt; (SHS) &lt;/citation.value4&gt;&lt;citation.key5&gt;CaseName.Nickname.(&lt;/citation.key5&gt;&lt;citation.value5&gt;(&lt;/citation.value5&gt;&lt;citation.key6&gt;CaseName.Nickname.)&lt;/citation.key6&gt;&lt;citation.value6&gt;)&lt;/citation.value6&gt;&lt;citation.key7&gt;CaseName.Nickname.Nickname&lt;/citation.key7&gt;&lt;citation.value7&gt;SHS&lt;/citation.value7&gt;&lt;citation.key8&gt;CaseName.Nickname._Pattern&lt;/citation.key8&gt;&lt;citation.value8&gt;Nickname.Nickname&lt;/citation.value8&gt;&lt;citation.key9&gt;CaseName.SecondParty&lt;/citation.key9&gt;&lt;citation.value9&gt;Middlegate, Inc., 96 CIV. 2348 &lt;/citation.value9&gt;&lt;citation.key10&gt;CaseName.SecondParty.Party&lt;/citation.key10&gt;&lt;citation.value10&gt;Middlegate, Inc., 96 CIV. 2348&lt;/citation.value10&gt;&lt;citation.key11&gt;CaseName.SecondParty._Pattern&lt;/citation.key11&gt;&lt;citation.value11&gt;Party.Party&lt;/citation.value11&gt;&lt;citation.key12&gt;CaseName._Pattern&lt;/citation.key12&gt;&lt;citation.value12&gt;CaseName.CaseName&lt;/citation.value12&gt;&lt;citation.key13&gt;CaseName.v&lt;/citation.key13&gt;&lt;citation.value13&gt;v.&lt;/citation.value13&gt;&lt;citation.key14&gt;CourtParenthetical&lt;/citation.key14&gt;&lt;citation.value14&gt; (S.D.N.Y. Nov. 4, 1997) &lt;/citation.value14&gt;&lt;citation.key15&gt;CourtParenthetical.CourtName&lt;/citation.key15&gt;&lt;citation.value15&gt;S.D.N.Y. &lt;/citation.value15&gt;&lt;citation.key16&gt;CourtParenthetical.CourtName.CourtName&lt;/citation.key16&gt;&lt;citation.value16&gt;S.D.N.Y.&lt;/citation.value16&gt;&lt;citation.key17&gt;CourtParenthetical.CourtName._Pattern&lt;/citation.key17&gt;&lt;citation.value17&gt;CourtName.CourtName&lt;/citation.value17&gt;&lt;citation.key18&gt;CourtParenthetical.Date&lt;/citation.key18&gt;&lt;citation.value18&gt;Nov. 4, 1997 &lt;/citation.value18&gt;&lt;citation.key19&gt;CourtParenthetical.Date.,&lt;/citation.key19&gt;&lt;citation.value19&gt;,&lt;/citation.value19&gt;&lt;citation.key20&gt;CourtParenthetical.Date.Day&lt;/citation.key20&gt;&lt;citation.value20&gt;4&lt;/citation.value20&gt;&lt;citation.key21&gt;CourtParenthetical.Date.Month&lt;/citation.key21&gt;&lt;citation.value21&gt;Nov.&lt;/citation.value21&gt;&lt;citation.key22&gt;CourtParenthetical.Date.Year&lt;/citation.key22&gt;&lt;citation.value22&gt;1997 &lt;/citation.value22&gt;&lt;citation.key23&gt;CourtParenthetical.Date.Year.Year&lt;/citation.key23&gt;&lt;citation.value23&gt;1997&lt;/citation.value23&gt;&lt;citation.key24&gt;CourtParenthetical.Date.Year._Pattern&lt;/citation.key24&gt;&lt;citation.value24&gt;Year.Year&lt;/citation.value24&gt;&lt;citation.key25&gt;CourtParenthetical.Date._Pattern&lt;/citation.key25&gt;&lt;citation.value25&gt;Date.Date&lt;/citation.value25&gt;&lt;citation.key26&gt;CourtParenthetical.ForbiddenComma._Pattern&lt;/citation.key26&gt;&lt;citation.value26&gt;ForbiddenComma.ForbiddenComma&lt;/citation.value26&gt;&lt;citation.key27&gt;CourtParenthetical.Switch ( [ L&lt;/citation.key27&gt;&lt;citation.value27&gt; (&lt;/citation.value27&gt;&lt;citation.key28&gt;CourtParenthetical.Switch ( [ L.(&lt;/citation.key28&gt;&lt;citation.value28&gt;(&lt;/citation.value28&gt;&lt;citation.key29&gt;CourtParenthetical.Switch ( [ L._Pattern&lt;/citation.key29&gt;&lt;citation.value29&gt;Switch ( [ L.Switch ( [ L&lt;/citation.value29&gt;&lt;citation.key30&gt;CourtParenthetical.Switch ) ] R&lt;/citation.key30&gt;&lt;citation.value30&gt;) &lt;/citation.value30&gt;&lt;citation.key31&gt;CourtParenthetical.Switch ) ] R.)&lt;/citation.key31&gt;&lt;citation.value31&gt;)&lt;/citation.value31&gt;&lt;citation.key32&gt;CourtParenthetical.Switch ) ] R._Pattern&lt;/citation.key32&gt;&lt;citation.value32&gt;Switch ) ] R.Switch ) ] R&lt;/citation.value32&gt;&lt;citation.key33&gt;CourtParenthetical._Pattern&lt;/citation.key33&gt;&lt;citation.value33&gt;CourtParenthetical.CourtParenthetical&lt;/citation.value33&gt;&lt;citation.key34&gt;Id&lt;/citation.key34&gt;&lt;citation.value34&gt;Id. &lt;/citation.value34&gt;&lt;citation.key35&gt;Id.ForbiddenComma._Pattern&lt;/citation.key35&gt;&lt;citation.value35&gt;ForbiddenComma.ForbiddenComma&lt;/citation.value35&gt;&lt;citation.key36&gt;Id.Id&lt;/citation.key36&gt;&lt;citation.value36&gt;Id.&lt;/citation.value36&gt;&lt;citation.key37&gt;Id._Pattern&lt;/citation.key37&gt;&lt;citation.value37&gt;IdGraph.IdGraph&lt;/citation.value37&gt;&lt;citation.key38&gt;RequiredComma._Pattern&lt;/citation.key38&gt;&lt;citation.value38&gt;RequiredComma.RequiredComma&lt;/citation.value38&gt;&lt;citation.key39&gt;UnreportedCase&lt;/citation.key39&gt;&lt;citation.value39&gt;, 1997 WL 685336 &lt;/citation.value39&gt;&lt;citation.key40&gt;UnreportedCase.,&lt;/citation.key40&gt;&lt;citation.value40&gt;,&lt;/citation.value40&gt;&lt;citation.key41&gt;UnreportedCase.Database&lt;/citation.key41&gt;&lt;citation.value41&gt;1997 WL 685336 &lt;/citation.value41&gt;&lt;citation.key42&gt;UnreportedCase.Database.DBReference&lt;/citation.key42&gt;&lt;citation.value42&gt;1997 WL 685336 &lt;/citation.value42&gt;&lt;citation.key43&gt;UnreportedCase.Database.DBReference.DBNumber&lt;/citation.key43&gt;&lt;citation.value43&gt;685336&lt;/citation.value43&gt;&lt;citation.key44&gt;UnreportedCase.Database.DBReference.WL&lt;/citation.key44&gt;&lt;citation.value44&gt;WL&lt;/citation.value44&gt;&lt;citation.key45&gt;UnreportedCase.Database.DBReference.Year&lt;/citation.key45&gt;&lt;citation.value45&gt;1997 &lt;/citation.value45&gt;&lt;citation.key46&gt;UnreportedCase.Database.DBReference.Year.Year&lt;/citation.key46&gt;&lt;citation.value46&gt;1997&lt;/citation.value46&gt;&lt;citation.key47&gt;UnreportedCase.Database.DBReference.Year._Pattern&lt;/citation.key47&gt;&lt;citation.value47&gt;Year.Year&lt;/citation.value47&gt;&lt;citation.key48&gt;UnreportedCase.Database.DBReference._Pattern&lt;/citation.key48&gt;&lt;citation.value48&gt;Case_DatabaseReference.Case_DatabaseReference&lt;/citation.value48&gt;&lt;citation.key49&gt;UnreportedCase.Database._Pattern&lt;/citation.key49&gt;&lt;citation.value49&gt;Case_DatabaseList.Case_DatabaseList&lt;/citation.value49&gt;&lt;citation.key50&gt;UnreportedCase._Pattern&lt;/citation.key50&gt;&lt;citation.value50&gt;UnreportedCase.UnreportedCase&lt;/citation.value50&gt;&lt;/citation&gt;_x000a_"/>
    <w:docVar w:name="CITRUS_BOOKMARK59[0]" w:val="&lt;#1&gt;&lt;citation&gt;&lt;citation._original_string&gt;Id&lt;/citation._original_string&gt;&lt;citation._current_string&gt;Id.&lt;/citation._current_string&gt;&lt;citation._full_string&gt;Zyware, Inc. v. Middlegate, Inc., 96 CIV. 2348 (SHS), , 1997 WL 685336 (S.D.N.Y. Nov. 4, 1997)&lt;/citation._full_string&gt;&lt;citation._current_format&gt;Id.UnreportedCaseUId&lt;/citation._current_format&gt;&lt;citation.name&gt;&lt;/citation.name&gt;&lt;citation.key0&gt;CaseName&lt;/citation.key0&gt;&lt;citation.value0&gt;Zyware, Inc. v. Middlegate, Inc., 96 CIV. 2348 (SHS) &lt;/citation.value0&gt;&lt;citation.key1&gt;CaseName.FirstParty&lt;/citation.key1&gt;&lt;citation.value1&gt;Zyware, Inc. &lt;/citation.value1&gt;&lt;citation.key2&gt;CaseName.FirstParty.Party&lt;/citation.key2&gt;&lt;citation.value2&gt;Zyware, Inc.&lt;/citation.value2&gt;&lt;citation.key3&gt;CaseName.FirstParty._Pattern&lt;/citation.key3&gt;&lt;citation.value3&gt;Party.Party&lt;/citation.value3&gt;&lt;citation.key4&gt;CaseName.Nickname&lt;/citation.key4&gt;&lt;citation.value4&gt; (SHS) &lt;/citation.value4&gt;&lt;citation.key5&gt;CaseName.Nickname.(&lt;/citation.key5&gt;&lt;citation.value5&gt;(&lt;/citation.value5&gt;&lt;citation.key6&gt;CaseName.Nickname.)&lt;/citation.key6&gt;&lt;citation.value6&gt;)&lt;/citation.value6&gt;&lt;citation.key7&gt;CaseName.Nickname.Nickname&lt;/citation.key7&gt;&lt;citation.value7&gt;SHS&lt;/citation.value7&gt;&lt;citation.key8&gt;CaseName.Nickname._Pattern&lt;/citation.key8&gt;&lt;citation.value8&gt;Nickname.Nickname&lt;/citation.value8&gt;&lt;citation.key9&gt;CaseName.SecondParty&lt;/citation.key9&gt;&lt;citation.value9&gt;Middlegate, Inc., 96 CIV. 2348 &lt;/citation.value9&gt;&lt;citation.key10&gt;CaseName.SecondParty.Party&lt;/citation.key10&gt;&lt;citation.value10&gt;Middlegate, Inc., 96 CIV. 2348&lt;/citation.value10&gt;&lt;citation.key11&gt;CaseName.SecondParty._Pattern&lt;/citation.key11&gt;&lt;citation.value11&gt;Party.Party&lt;/citation.value11&gt;&lt;citation.key12&gt;CaseName._Pattern&lt;/citation.key12&gt;&lt;citation.value12&gt;CaseName.CaseName&lt;/citation.value12&gt;&lt;citation.key13&gt;CaseName.v&lt;/citation.key13&gt;&lt;citation.value13&gt;v.&lt;/citation.value13&gt;&lt;citation.key14&gt;CourtParenthetical&lt;/citation.key14&gt;&lt;citation.value14&gt; (S.D.N.Y. Nov. 4, 1997) &lt;/citation.value14&gt;&lt;citation.key15&gt;CourtParenthetical.CourtName&lt;/citation.key15&gt;&lt;citation.value15&gt;S.D.N.Y. &lt;/citation.value15&gt;&lt;citation.key16&gt;CourtParenthetical.CourtName.CourtName&lt;/citation.key16&gt;&lt;citation.value16&gt;S.D.N.Y.&lt;/citation.value16&gt;&lt;citation.key17&gt;CourtParenthetical.CourtName._Pattern&lt;/citation.key17&gt;&lt;citation.value17&gt;CourtName.CourtName&lt;/citation.value17&gt;&lt;citation.key18&gt;CourtParenthetical.Date&lt;/citation.key18&gt;&lt;citation.value18&gt;Nov. 4, 1997 &lt;/citation.value18&gt;&lt;citation.key19&gt;CourtParenthetical.Date.,&lt;/citation.key19&gt;&lt;citation.value19&gt;,&lt;/citation.value19&gt;&lt;citation.key20&gt;CourtParenthetical.Date.Day&lt;/citation.key20&gt;&lt;citation.value20&gt;4&lt;/citation.value20&gt;&lt;citation.key21&gt;CourtParenthetical.Date.Month&lt;/citation.key21&gt;&lt;citation.value21&gt;Nov.&lt;/citation.value21&gt;&lt;citation.key22&gt;CourtParenthetical.Date.Year&lt;/citation.key22&gt;&lt;citation.value22&gt;1997 &lt;/citation.value22&gt;&lt;citation.key23&gt;CourtParenthetical.Date.Year.Year&lt;/citation.key23&gt;&lt;citation.value23&gt;1997&lt;/citation.value23&gt;&lt;citation.key24&gt;CourtParenthetical.Date.Year._Pattern&lt;/citation.key24&gt;&lt;citation.value24&gt;Year.Year&lt;/citation.value24&gt;&lt;citation.key25&gt;CourtParenthetical.Date._Pattern&lt;/citation.key25&gt;&lt;citation.value25&gt;Date.Date&lt;/citation.value25&gt;&lt;citation.key26&gt;CourtParenthetical.ForbiddenComma._Pattern&lt;/citation.key26&gt;&lt;citation.value26&gt;ForbiddenComma.ForbiddenComma&lt;/citation.value26&gt;&lt;citation.key27&gt;CourtParenthetical.Switch ( [ L&lt;/citation.key27&gt;&lt;citation.value27&gt; (&lt;/citation.value27&gt;&lt;citation.key28&gt;CourtParenthetical.Switch ( [ L.(&lt;/citation.key28&gt;&lt;citation.value28&gt;(&lt;/citation.value28&gt;&lt;citation.key29&gt;CourtParenthetical.Switch ( [ L._Pattern&lt;/citation.key29&gt;&lt;citation.value29&gt;Switch ( [ L.Switch ( [ L&lt;/citation.value29&gt;&lt;citation.key30&gt;CourtParenthetical.Switch ) ] R&lt;/citation.key30&gt;&lt;citation.value30&gt;) &lt;/citation.value30&gt;&lt;citation.key31&gt;CourtParenthetical.Switch ) ] R.)&lt;/citation.key31&gt;&lt;citation.value31&gt;)&lt;/citation.value31&gt;&lt;citation.key32&gt;CourtParenthetical.Switch ) ] R._Pattern&lt;/citation.key32&gt;&lt;citation.value32&gt;Switch ) ] R.Switch ) ] R&lt;/citation.value32&gt;&lt;citation.key33&gt;CourtParenthetical._Pattern&lt;/citation.key33&gt;&lt;citation.value33&gt;CourtParenthetical.CourtParenthetical&lt;/citation.value33&gt;&lt;citation.key34&gt;Id&lt;/citation.key34&gt;&lt;citation.value34&gt;Id. &lt;/citation.value34&gt;&lt;citation.key35&gt;Id.ForbiddenComma._Pattern&lt;/citation.key35&gt;&lt;citation.value35&gt;ForbiddenComma.ForbiddenComma&lt;/citation.value35&gt;&lt;citation.key36&gt;Id.Id&lt;/citation.key36&gt;&lt;citation.value36&gt;Id.&lt;/citation.value36&gt;&lt;citation.key37&gt;Id._Pattern&lt;/citation.key37&gt;&lt;citation.value37&gt;IdGraph.IdGraph&lt;/citation.value37&gt;&lt;citation.key38&gt;RequiredComma._Pattern&lt;/citation.key38&gt;&lt;citation.value38&gt;RequiredComma.RequiredComma&lt;/citation.value38&gt;&lt;citation.key39&gt;UnreportedCase&lt;/citation.key39&gt;&lt;citation.value39&gt;, 1997 WL 685336 &lt;/citation.value39&gt;&lt;citation.key40&gt;UnreportedCase.,&lt;/citation.key40&gt;&lt;citation.value40&gt;,&lt;/citation.value40&gt;&lt;citation.key41&gt;UnreportedCase.Database&lt;/citation.key41&gt;&lt;citation.value41&gt;1997 WL 685336 &lt;/citation.value41&gt;&lt;citation.key42&gt;UnreportedCase.Database.DBReference&lt;/citation.key42&gt;&lt;citation.value42&gt;1997 WL 685336 &lt;/citation.value42&gt;&lt;citation.key43&gt;UnreportedCase.Database.DBReference.DBNumber&lt;/citation.key43&gt;&lt;citation.value43&gt;685336&lt;/citation.value43&gt;&lt;citation.key44&gt;UnreportedCase.Database.DBReference.WL&lt;/citation.key44&gt;&lt;citation.value44&gt;WL&lt;/citation.value44&gt;&lt;citation.key45&gt;UnreportedCase.Database.DBReference.Year&lt;/citation.key45&gt;&lt;citation.value45&gt;1997 &lt;/citation.value45&gt;&lt;citation.key46&gt;UnreportedCase.Database.DBReference.Year.Year&lt;/citation.key46&gt;&lt;citation.value46&gt;1997&lt;/citation.value46&gt;&lt;citation.key47&gt;UnreportedCase.Database.DBReference.Year._Pattern&lt;/citation.key47&gt;&lt;citation.value47&gt;Year.Year&lt;/citation.value47&gt;&lt;citation.key48&gt;UnreportedCase.Database.DBReference._Pattern&lt;/citation.key48&gt;&lt;citation.value48&gt;Case_DatabaseReference.Case_DatabaseReference&lt;/citation.value48&gt;&lt;citation.key49&gt;UnreportedCase.Database._Pattern&lt;/citation.key49&gt;&lt;citation.value49&gt;Case_DatabaseList.Case_DatabaseList&lt;/citation.value49&gt;&lt;citation.key50&gt;UnreportedCase._Pattern&lt;/citation.key50&gt;&lt;citation.value50&gt;UnreportedCase.UnreportedCase&lt;/citation.value50&gt;&lt;/citation&gt;_x000a_"/>
    <w:docVar w:name="CITRUS_BOOKMARK60[0]" w:val="&lt;#1&gt;&lt;citation&gt;&lt;citation._original_string&gt;Twentieth Century Fox Film Corp. v. Entertainment Distributing, 429 F.3d 869, 881 (9th Cir 2005) [citing Dolman v. Agee, 157 F.3d 708,712 (9th Cir. 1998)]&lt;/citation._original_string&gt;&lt;citation._current_string&gt;Twentieth Century Fox Film Corp. v. Entm't Distrib., 429 F.3d 869, 881 (9th Cir. 2005) (citing Dolman v. Agee, 157 F.3d 708, 712 (9th Cir. 1998))&lt;/citation._current_string&gt;&lt;citation._full_string&gt;Twentieth Century Fox Film Corp. v. Entm't Distrib., 429 F.3d 869, 881 (9th Cir. 2005) (citing Dolman v. Agee, 157 F.3d 708, 712 (9th Cir. 1998))&lt;/citation._full_string&gt;&lt;citation._current_format&gt;Full.CaseCitation&lt;/citation._current_format&gt;&lt;citation.name&gt;&lt;/citation.name&gt;&lt;citation.key0&gt;,&lt;/citation.key0&gt;&lt;citation.value0&gt;,&lt;/citation.value0&gt;&lt;citation.key1&gt;CaseName.FirstParty&lt;/citation.key1&gt;&lt;citation.value1&gt;Twentieth Century Fox Film Corp.&lt;/citation.value1&gt;&lt;citation.key2&gt;CaseName.FirstParty.Party&lt;/citation.key2&gt;&lt;citation.value2&gt;Twentieth Century Fox Film Corp.&lt;/citation.value2&gt;&lt;citation.key3&gt;CaseName.FirstParty._Pattern&lt;/citation.key3&gt;&lt;citation.value3&gt;Party.Party&lt;/citation.value3&gt;&lt;citation.key4&gt;CaseName.SecondParty&lt;/citation.key4&gt;&lt;citation.value4&gt;Entm't Distrib.&lt;/citation.value4&gt;&lt;citation.key5&gt;CaseName.SecondParty.Party&lt;/citation.key5&gt;&lt;citation.value5&gt;Entm't Distrib.&lt;/citation.value5&gt;&lt;citation.key6&gt;CaseName.SecondParty._Pattern&lt;/citation.key6&gt;&lt;citation.value6&gt;Party.Party&lt;/citation.value6&gt;&lt;citation.key7&gt;CaseName._Pattern&lt;/citation.key7&gt;&lt;citation.value7&gt;&lt;/citation.value7&gt;&lt;citation.key8&gt;CourtParenthetical&lt;/citation.key8&gt;&lt;citation.value8&gt; (9th Cir. 2005) &lt;/citation.value8&gt;&lt;citation.key9&gt;CourtParenthetical.CourtName&lt;/citation.key9&gt;&lt;citation.value9&gt;9th Cir. &lt;/citation.value9&gt;&lt;citation.key10&gt;CourtParenthetical.CourtName.CourtName&lt;/citation.key10&gt;&lt;citation.value10&gt;9th Cir.&lt;/citation.value10&gt;&lt;citation.key11&gt;CourtParenthetical.CourtName._Pattern&lt;/citation.key11&gt;&lt;citation.value11&gt;CourtName.CourtName&lt;/citation.value11&gt;&lt;citation.key12&gt;CourtParenthetical.Date.Year&lt;/citation.key12&gt;&lt;citation.value12&gt;2005&lt;/citation.value12&gt;&lt;citation.key13&gt;CourtParenthetical.Date.Year.Year&lt;/citation.key13&gt;&lt;citation.value13&gt;200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Parenthetical&lt;/citation.key30&gt;&lt;citation.value30&gt; (citing Dolman v. Agee, 157 F.3d 708, 712 (9th Cir. 1998)) &lt;/citation.value30&gt;&lt;citation.key31&gt;Parenthetical.([&lt;/citation.key31&gt;&lt;citation.value31&gt; (&lt;/citation.value31&gt;&lt;citation.key32&gt;Parenthetical.([.[&lt;/citation.key32&gt;&lt;citation.value32&gt;[&lt;/citation.value32&gt;&lt;citation.key33&gt;Parenthetical.([._Pattern&lt;/citation.key33&gt;&lt;citation.value33&gt;([.([&lt;/citation.value33&gt;&lt;citation.key34&gt;Parenthetical.])&lt;/citation.key34&gt;&lt;citation.value34&gt;) &lt;/citation.value34&gt;&lt;citation.key35&gt;Parenthetical.]).]&lt;/citation.key35&gt;&lt;citation.value35&gt;]&lt;/citation.value35&gt;&lt;citation.key36&gt;Parenthetical.])._Pattern&lt;/citation.key36&gt;&lt;citation.value36&gt;]).])&lt;/citation.value36&gt;&lt;citation.key37&gt;Parenthetical._Pattern&lt;/citation.key37&gt;&lt;citation.value37&gt;Parenthetical.Parenthetical&lt;/citation.value37&gt;&lt;citation.key38&gt;Parenthetical.__CaseParentheticalLocal&lt;/citation.key38&gt;&lt;citation.value38&gt;citing Dolman v. Agee, 157 F.3d 708, 712 (9th Cir. 1998) &lt;/citation.value38&gt;&lt;citation.key39&gt;Parenthetical.__CaseParentheticalLocal.Citation1&lt;/citation.key39&gt;&lt;citation.value39&gt;Dolman v. Agee, 157 F.3d 708, 712 (9th Cir. 1998) &lt;/citation.value39&gt;&lt;citation.key40&gt;Parenthetical.__CaseParentheticalLocal.Citation1.,&lt;/citation.key40&gt;&lt;citation.value40&gt;,&lt;/citation.value40&gt;&lt;citation.key41&gt;Parenthetical.__CaseParentheticalLocal.Citation1.CaseName&lt;/citation.key41&gt;&lt;citation.value41&gt;Dolman v. Agee &lt;/citation.value41&gt;&lt;citation.key42&gt;Parenthetical.__CaseParentheticalLocal.Citation1.CaseName.FirstParty&lt;/citation.key42&gt;&lt;citation.value42&gt;Dolman&lt;/citation.value42&gt;&lt;citation.key43&gt;Parenthetical.__CaseParentheticalLocal.Citation1.CaseName.FirstParty.Party&lt;/citation.key43&gt;&lt;citation.value43&gt;Dolman&lt;/citation.value43&gt;&lt;citation.key44&gt;Parenthetical.__CaseParentheticalLocal.Citation1.CaseName.FirstParty._Pattern&lt;/citation.key44&gt;&lt;citation.value44&gt;Party.Party&lt;/citation.value44&gt;&lt;citation.key45&gt;Parenthetical.__CaseParentheticalLocal.Citation1.CaseName.SecondParty&lt;/citation.key45&gt;&lt;citation.value45&gt;Agee&lt;/citation.value45&gt;&lt;citation.key46&gt;Parenthetical.__CaseParentheticalLocal.Citation1.CaseName.SecondParty.Party&lt;/citation.key46&gt;&lt;citation.value46&gt;Agee&lt;/citation.value46&gt;&lt;citation.key47&gt;Parenthetical.__CaseParentheticalLocal.Citation1.CaseName.SecondParty._Pattern&lt;/citation.key47&gt;&lt;citation.value47&gt;Party.Party&lt;/citation.value47&gt;&lt;citation.key48&gt;Parenthetical.__CaseParentheticalLocal.Citation1.CaseName._Pattern&lt;/citation.key48&gt;&lt;citation.value48&gt;&lt;/citation.value48&gt;&lt;citation.key49&gt;Parenthetical.__CaseParentheticalLocal.Citation1.CaseName.v&lt;/citation.key49&gt;&lt;citation.value49&gt;v.&lt;/citation.value49&gt;&lt;citation.key50&gt;Parenthetical.__CaseParentheticalLocal.Citation1.CourtParenthetical&lt;/citation.key50&gt;&lt;citation.value50&gt; (9th Cir. 1998) &lt;/citation.value50&gt;&lt;citation.key51&gt;Parenthetical.__CaseParentheticalLocal.Citation1.CourtParenthetical.CourtName&lt;/citation.key51&gt;&lt;citation.value51&gt;9th Cir. &lt;/citation.value51&gt;&lt;citation.key52&gt;Parenthetical.__CaseParentheticalLocal.Citation1.CourtParenthetical.CourtName.CourtName&lt;/citation.key52&gt;&lt;citation.value52&gt;9th Cir.&lt;/citation.value52&gt;&lt;citation.key53&gt;Parenthetical.__CaseParentheticalLocal.Citation1.CourtParenthetical.CourtName._Pattern&lt;/citation.key53&gt;&lt;citation.value53&gt;CourtName.CourtName&lt;/citation.value53&gt;&lt;citation.key54&gt;Parenthetical.__CaseParentheticalLocal.Citation1.CourtParenthetical.Date&lt;/citation.key54&gt;&lt;citation.value54&gt;1998 &lt;/citation.value54&gt;&lt;citation.key55&gt;Parenthetical.__CaseParentheticalLocal.Citation1.CourtParenthetical.Date.Year&lt;/citation.key55&gt;&lt;citation.value55&gt;1998&lt;/citation.value55&gt;&lt;citation.key56&gt;Parenthetical.__CaseParentheticalLocal.Citation1.CourtParenthetical.Date.Year.Year&lt;/citation.key56&gt;&lt;citation.value56&gt;1998&lt;/citation.value56&gt;&lt;citation.key57&gt;Parenthetical.__CaseParentheticalLocal.Citation1.CourtParenthetical.Date.Year._Pattern&lt;/citation.key57&gt;&lt;citation.value57&gt;CourtParenthetical.Date.Year.Year&lt;/citation.value57&gt;&lt;citation.key58&gt;Parenthetical.__CaseParentheticalLocal.Citation1.CourtParenthetical.Date._Pattern&lt;/citation.key58&gt;&lt;citation.value58&gt;CourtParenthetical.Date.Date&lt;/citation.value58&gt;&lt;citation.key59&gt;Parenthetical.__CaseParentheticalLocal.Citation1.CourtParenthetical.ForbiddenComma._Pattern&lt;/citation.key59&gt;&lt;citation.value59&gt;ForbiddenComma.ForbiddenComma&lt;/citation.value59&gt;&lt;citation.key60&gt;Parenthetical.__CaseParentheticalLocal.Citation1.CourtParenthetical.Switch ( [ L&lt;/citation.key60&gt;&lt;citation.value60&gt; (&lt;/citation.value60&gt;&lt;citation.key61&gt;Parenthetical.__CaseParentheticalLocal.Citation1.CourtParenthetical.Switch ( [ L.(&lt;/citation.key61&gt;&lt;citation.value61&gt;(&lt;/citation.value61&gt;&lt;citation.key62&gt;Parenthetical.__CaseParentheticalLocal.Citation1.CourtParenthetical.Switch ( [ L._Pattern&lt;/citation.key62&gt;&lt;citation.value62&gt;Switch ( [ L.Switch ( [ L&lt;/citation.value62&gt;&lt;citation.key63&gt;Parenthetical.__CaseParentheticalLocal.Citation1.CourtParenthetical.Switch ) ] R&lt;/citation.key63&gt;&lt;citation.value63&gt;) &lt;/citation.value63&gt;&lt;citation.key64&gt;Parenthetical.__CaseParentheticalLocal.Citation1.CourtParenthetical.Switch ) ] R.)&lt;/citation.key64&gt;&lt;citation.value64&gt;)&lt;/citation.value64&gt;&lt;citation.key65&gt;Parenthetical.__CaseParentheticalLocal.Citation1.CourtParenthetical.Switch ) ] R._Pattern&lt;/citation.key65&gt;&lt;citation.value65&gt;Switch ) ] R.Switch ) ] R&lt;/citation.value65&gt;&lt;citation.key66&gt;Parenthetical.__CaseParentheticalLocal.Citation1.CourtParenthetical._Pattern&lt;/citation.key66&gt;&lt;citation.value66&gt;CourtParenthetical.CourtParenthetical&lt;/citation.value66&gt;&lt;citation.key67&gt;Parenthetical.__CaseParentheticalLocal.Citation1.HAS_AUTHORITATIVE_DATA&lt;/citation.key67&gt;&lt;citation.value67&gt;YES&lt;/citation.value67&gt;&lt;citation.key68&gt;Parenthetical.__CaseParentheticalLocal.Citation1.NY L Paren&lt;/citation.key68&gt;&lt;citation.value68&gt;(&lt;/citation.value68&gt;&lt;citation.key69&gt;Parenthetical.__CaseParentheticalLocal.Citation1.NY R Paren&lt;/citation.key69&gt;&lt;citation.value69&gt;)&lt;/citation.value69&gt;&lt;citation.key70&gt;Parenthetical.__CaseParentheticalLocal.Citation1.Reporter&lt;/citation.key70&gt;&lt;citation.value70&gt;157 F.3d 708, 712&lt;/citation.value70&gt;&lt;citation.key71&gt;Parenthetical.__CaseParentheticalLocal.Citation1.Reporter.FirstPage&lt;/citation.key71&gt;&lt;citation.value71&gt;708&lt;/citation.value71&gt;&lt;citation.key72&gt;Parenthetical.__CaseParentheticalLocal.Citation1.Reporter.Name&lt;/citation.key72&gt;&lt;citation.value72&gt;F.3d&lt;/citation.value72&gt;&lt;citation.key73&gt;Parenthetical.__CaseParentheticalLocal.Citation1.Reporter.RequiredComma&lt;/citation.key73&gt;&lt;citation.value73&gt;, &lt;/citation.value73&gt;&lt;citation.key74&gt;Parenthetical.__CaseParentheticalLocal.Citation1.Reporter.RequiredComma.Comma&lt;/citation.key74&gt;&lt;citation.value74&gt;,&lt;/citation.value74&gt;&lt;citation.key75&gt;Parenthetical.__CaseParentheticalLocal.Citation1.Reporter.RequiredComma._Pattern&lt;/citation.key75&gt;&lt;citation.value75&gt;RequiredComma.RequiredComma&lt;/citation.value75&gt;&lt;citation.key76&gt;Parenthetical.__CaseParentheticalLocal.Citation1.Reporter.Volume&lt;/citation.key76&gt;&lt;citation.value76&gt;157&lt;/citation.value76&gt;&lt;citation.key77&gt;Parenthetical.__CaseParentheticalLocal.Citation1.Reporter.[&lt;/citation.key77&gt;&lt;citation.value77&gt;[&lt;/citation.value77&gt;&lt;citation.key78&gt;Parenthetical.__CaseParentheticalLocal.Citation1.Reporter.]&lt;/citation.key78&gt;&lt;citation.value78&gt;]&lt;/citation.value78&gt;&lt;citation.key79&gt;Parenthetical.__CaseParentheticalLocal.Citation1.Reporter._Pattern&lt;/citation.key79&gt;&lt;citation.value79&gt;Reporter.Reporter&lt;/citation.value79&gt;&lt;citation.key80&gt;Parenthetical.__CaseParentheticalLocal.Citation1.Reporter.__PinPages&lt;/citation.key80&gt;&lt;citation.value80&gt;712&lt;/citation.value80&gt;&lt;citation.key81&gt;Parenthetical.__CaseParentheticalLocal.Citation1.Reporter.__PinPages.First&lt;/citation.key81&gt;&lt;citation.value81&gt;712&lt;/citation.value81&gt;&lt;citation.key82&gt;Parenthetical.__CaseParentheticalLocal.Citation1.Reporter.__PinPages.First._Pattern&lt;/citation.key82&gt;&lt;citation.value82&gt;FirstPageInRange.FirstPageInRange&lt;/citation.value82&gt;&lt;citation.key83&gt;Parenthetical.__CaseParentheticalLocal.Citation1.Reporter.__PinPages.First.__PageNumber&lt;/citation.key83&gt;&lt;citation.value83&gt;712&lt;/citation.value83&gt;&lt;citation.key84&gt;Parenthetical.__CaseParentheticalLocal.Citation1.Reporter.__PinPages._Pattern&lt;/citation.key84&gt;&lt;citation.value84&gt;PinPages.PinPages&lt;/citation.value84&gt;&lt;citation.key85&gt;Parenthetical.__CaseParentheticalLocal.Citation1.Reporter.page&lt;/citation.key85&gt;&lt;citation.value85&gt;page&lt;/citation.value85&gt;&lt;citation.key86&gt;Parenthetical.__CaseParentheticalLocal.Citation1.RequiredComma&lt;/citation.key86&gt;&lt;citation.value86&gt;, &lt;/citation.value86&gt;&lt;citation.key87&gt;Parenthetical.__CaseParentheticalLocal.Citation1.RequiredComma._Pattern&lt;/citation.key87&gt;&lt;citation.value87&gt;RequiredComma.RequiredComma&lt;/citation.value87&gt;&lt;citation.key88&gt;Parenthetical.__CaseParentheticalLocal.Citation1._Pattern&lt;/citation.key88&gt;&lt;citation.value88&gt;CaseCitation.CaseCitation&lt;/citation.value88&gt;&lt;citation.key89&gt;Parenthetical.__CaseParentheticalLocal.Citation1.supra&lt;/citation.key89&gt;&lt;citation.value89&gt;supra,&lt;/citation.value89&gt;&lt;citation.key90&gt;Parenthetical.__CaseParentheticalLocal.Citation1.supra.,&lt;/citation.key90&gt;&lt;citation.value90&gt;, &lt;/citation.value90&gt;&lt;citation.key91&gt;Parenthetical.__CaseParentheticalLocal.Citation1.supra._Pattern&lt;/citation.key91&gt;&lt;citation.value91&gt;ShortCaseSupra.ShortCaseSupra&lt;/citation.value91&gt;&lt;citation.key92&gt;Parenthetical.__CaseParentheticalLocal.Citation1.supra.supra&lt;/citation.key92&gt;&lt;citation.value92&gt;supra&lt;/citation.value92&gt;&lt;citation.key93&gt;Parenthetical.__CaseParentheticalLocal.ForbiddenComma._Pattern&lt;/citation.key93&gt;&lt;citation.value93&gt;ForbiddenComma.ForbiddenComma&lt;/citation.value93&gt;&lt;citation.key94&gt;Parenthetical.__CaseParentheticalLocal._Pattern&lt;/citation.key94&gt;&lt;citation.value94&gt;CaseParentheticalLocal.CaseParentheticalLocal&lt;/citation.value94&gt;&lt;citation.key95&gt;Parenthetical.__CaseParentheticalLocal.citing&lt;/citation.key95&gt;&lt;citation.value95&gt;citing&lt;/citation.value95&gt;&lt;citation.key96&gt;Reporter&lt;/citation.key96&gt;&lt;citation.value96&gt;429 F.3d 869, 881&lt;/citation.value96&gt;&lt;citation.key97&gt;Reporter.FirstPage&lt;/citation.key97&gt;&lt;citation.value97&gt;869&lt;/citation.value97&gt;&lt;citation.key98&gt;Reporter.Name&lt;/citation.key98&gt;&lt;citation.value98&gt;F.3d&lt;/citation.value98&gt;&lt;citation.key99&gt;Reporter.RequiredComma&lt;/citation.key99&gt;&lt;citation.value99&gt;, &lt;/citation.value99&gt;&lt;citation.key100&gt;Reporter.RequiredComma.Comma&lt;/citation.key100&gt;&lt;citation.value100&gt;,&lt;/citation.value100&gt;&lt;citation.key101&gt;Reporter.RequiredComma._Pattern&lt;/citation.key101&gt;&lt;citation.value101&gt;RequiredComma.RequiredComma&lt;/citation.value101&gt;&lt;citation.key102&gt;Reporter.Volume&lt;/citation.key102&gt;&lt;citation.value102&gt;429&lt;/citation.value102&gt;&lt;citation.key103&gt;Reporter.[&lt;/citation.key103&gt;&lt;citation.value103&gt;[&lt;/citation.value103&gt;&lt;citation.key104&gt;Reporter.]&lt;/citation.key104&gt;&lt;citation.value104&gt;]&lt;/citation.value104&gt;&lt;citation.key105&gt;Reporter._Pattern&lt;/citation.key105&gt;&lt;citation.value105&gt;Reporter.Reporter&lt;/citation.value105&gt;&lt;citation.key106&gt;Reporter.__PinPages&lt;/citation.key106&gt;&lt;citation.value106&gt;881&lt;/citation.value106&gt;&lt;citation.key107&gt;Reporter.__PinPages.First&lt;/citation.key107&gt;&lt;citation.value107&gt;881&lt;/citation.value107&gt;&lt;citation.key108&gt;Reporter.__PinPages.First._Pattern&lt;/citation.key108&gt;&lt;citation.value108&gt;FirstPageInRange.FirstPageInRange&lt;/citation.value108&gt;&lt;citation.key109&gt;Reporter.__PinPages.First.__PageNumber&lt;/citation.key109&gt;&lt;citation.value109&gt;881&lt;/citation.value109&gt;&lt;citation.key110&gt;Reporter.__PinPages._Pattern&lt;/citation.key110&gt;&lt;citation.value110&gt;PinPages.PinPages&lt;/citation.value110&gt;&lt;citation.key111&gt;Reporter.page&lt;/citation.key111&gt;&lt;citation.value111&gt;page&lt;/citation.value111&gt;&lt;citation.key112&gt;RequiredComma&lt;/citation.key112&gt;&lt;citation.value112&gt;, &lt;/citation.value112&gt;&lt;citation.key113&gt;RequiredComma._Pattern&lt;/citation.key113&gt;&lt;citation.value113&gt;RequiredComma.RequiredComma&lt;/citation.value113&gt;&lt;citation.key114&gt;supra&lt;/citation.key114&gt;&lt;citation.value114&gt;&lt;/citation.value114&gt;&lt;citation.key115&gt;supra.,&lt;/citation.key115&gt;&lt;citation.value115&gt;, &lt;/citation.value115&gt;&lt;citation.key116&gt;supra._Pattern&lt;/citation.key116&gt;&lt;citation.value116&gt;ShortCaseSupra.ShortCaseSupra&lt;/citation.value116&gt;&lt;citation.key117&gt;supra.supra&lt;/citation.key117&gt;&lt;citation.value117&gt;supra&lt;/citation.value117&gt;&lt;/citation&gt;_x000a_"/>
    <w:docVar w:name="CITRUS_BOOKMARK61[0]" w:val="&lt;#1&gt;&lt;citation&gt;&lt;citation._original_string&gt;17 U.S.C. §101&lt;/citation._original_string&gt;&lt;citation._current_string&gt;17 U.S.C. § 101&lt;/citation._current_string&gt;&lt;citation._full_string&gt;17 U.S.C. §1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62[0]" w:val="&lt;#1&gt;&lt;citation&gt;&lt;citation._original_string&gt;17 U.S.C. §101&lt;/citation._original_string&gt;&lt;citation._current_string&gt;17 U.S.C. § 101&lt;/citation._current_string&gt;&lt;citation._full_string&gt;17 U.S.C. §1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65[0]" w:val="&lt;#1&gt;&lt;citation&gt;&lt;citation._original_string&gt;17 U.S.C. § 101&lt;/citation._original_string&gt;&lt;citation._current_string&gt;17 U.S.C. § 101&lt;/citation._current_string&gt;&lt;citation._full_string&gt;17 U.S.C. §1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66[0]" w:val="&lt;#1&gt;&lt;citation&gt;&lt;citation._original_string&gt;17 U.S.C. § 101&lt;/citation._original_string&gt;&lt;citation._current_string&gt;17 U.S.C. § 101&lt;/citation._current_string&gt;&lt;citation._full_string&gt;17 U.S.C. §1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67[0]" w:val="&lt;#1&gt;&lt;citation&gt;&lt;citation._original_string&gt;Schiller &amp; Schmidt v. Nordisco Corp., 969 F.2d 410 (7th Cir. 1992)&lt;/citation._original_string&gt;&lt;citation._current_string&gt;Id.&lt;/citation._current_string&gt;&lt;citation._full_string&gt;Schiller &amp; Schmidt v. Nordisco Corp., 969 F.2d 410 (7th Cir. 1992)&lt;/citation._full_string&gt;&lt;citation._current_format&gt;Id.CaseUId&lt;/citation._current_format&gt;&lt;citation.name&gt;&lt;/citation.name&gt;&lt;citation.key0&gt;,&lt;/citation.key0&gt;&lt;citation.value0&gt;,&lt;/citation.value0&gt;&lt;citation.key1&gt;CaseName&lt;/citation.key1&gt;&lt;citation.value1&gt;Schiller &amp; Schmidt v. Nordisco Corp. &lt;/citation.value1&gt;&lt;citation.key2&gt;CaseName.FirstParty&lt;/citation.key2&gt;&lt;citation.value2&gt;Schiller &amp; Schmidt &lt;/citation.value2&gt;&lt;citation.key3&gt;CaseName.FirstParty.Party&lt;/citation.key3&gt;&lt;citation.value3&gt;Schiller &amp; Schmidt&lt;/citation.value3&gt;&lt;citation.key4&gt;CaseName.FirstParty._Pattern&lt;/citation.key4&gt;&lt;citation.value4&gt;Party.Party&lt;/citation.value4&gt;&lt;citation.key5&gt;CaseName.SecondParty&lt;/citation.key5&gt;&lt;citation.value5&gt;Nordisco Corp. &lt;/citation.value5&gt;&lt;citation.key6&gt;CaseName.SecondParty.Party&lt;/citation.key6&gt;&lt;citation.value6&gt;Nordisco Corp.&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7th Cir. 1992) &lt;/citation.value10&gt;&lt;citation.key11&gt;CourtParenthetical.CourtName&lt;/citation.key11&gt;&lt;citation.value11&gt;7th Cir. &lt;/citation.value11&gt;&lt;citation.key12&gt;CourtParenthetical.CourtName.CourtName&lt;/citation.key12&gt;&lt;citation.value12&gt;7th Cir.&lt;/citation.value12&gt;&lt;citation.key13&gt;CourtParenthetical.CourtName._Pattern&lt;/citation.key13&gt;&lt;citation.value13&gt;CourtName.CourtName&lt;/citation.value13&gt;&lt;citation.key14&gt;CourtParenthetical.Date&lt;/citation.key14&gt;&lt;citation.value14&gt;1992 &lt;/citation.value14&gt;&lt;citation.key15&gt;CourtParenthetical.Date.Year&lt;/citation.key15&gt;&lt;citation.value15&gt;1992 &lt;/citation.value15&gt;&lt;citation.key16&gt;CourtParenthetical.Date.Year.Year&lt;/citation.key16&gt;&lt;citation.value16&gt;1992&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410 &lt;/citation.value32&gt;&lt;citation.key33&gt;Reporter.FirstPage&lt;/citation.key33&gt;&lt;citation.value33&gt;410&lt;/citation.value33&gt;&lt;citation.key34&gt;Reporter.Name&lt;/citation.key34&gt;&lt;citation.value34&gt;F.2d&lt;/citation.value34&gt;&lt;citation.key35&gt;Reporter.Volume&lt;/citation.key35&gt;&lt;citation.value35&gt;969&lt;/citation.value35&gt;&lt;citation.key36&gt;Reporter.[&lt;/citation.key36&gt;&lt;citation.value36&gt;[&lt;/citation.value36&gt;&lt;citation.key37&gt;Reporter.]&lt;/citation.key37&gt;&lt;citation.value37&gt;]&lt;/citation.value37&gt;&lt;citation.key38&gt;Reporter._Pattern&lt;/citation.key38&gt;&lt;citation.value38&gt;ShortReporter.ShortReporter&lt;/citation.value38&gt;&lt;citation.key39&gt;Reporter.page&lt;/citation.key39&gt;&lt;citation.value39&gt;page&lt;/citation.value39&gt;&lt;citation.key40&gt;RequiredComma&lt;/citation.key40&gt;&lt;citation.value40&gt;, &lt;/citation.value40&gt;&lt;citation.key41&gt;RequiredComma.Comma&lt;/citation.key41&gt;&lt;citation.value41&gt;,&lt;/citation.value41&gt;&lt;citation.key42&gt;RequiredComma._Pattern&lt;/citation.key42&gt;&lt;citation.value42&gt;RequiredComma.RequiredComma&lt;/citation.value42&gt;&lt;citation.key43&gt;supra&lt;/citation.key43&gt;&lt;citation.value43&gt;&lt;/citation.value43&gt;&lt;citation.key44&gt;supra.,&lt;/citation.key44&gt;&lt;citation.value44&gt;, &lt;/citation.value44&gt;&lt;citation.key45&gt;supra._Pattern&lt;/citation.key45&gt;&lt;citation.value45&gt;ShortCaseSupra.ShortCaseSupra&lt;/citation.value45&gt;&lt;citation.key46&gt;supra.supra&lt;/citation.key46&gt;&lt;citation.value46&gt;supra&lt;/citation.value46&gt;&lt;/citation&gt;_x000a_"/>
    <w:docVar w:name="CITRUS_BOOKMARK68[0]" w:val="&lt;#1&gt;&lt;citation&gt;&lt;citation._original_string&gt;Schiller &amp; Schmidt v. Nordisco Corp., 969 F.2d 410 (7th Cir. 1992)&lt;/citation._original_string&gt;&lt;citation._current_string&gt;Schiller &amp; Schmidt v. Nordisco Corp., 969 F.2d 410 (7th Cir. 1992)&lt;/citation._current_string&gt;&lt;citation._full_string&gt;Schiller &amp; Schmidt v. Nordisco Corp., 969 F.2d 410 (7th Cir. 1992)&lt;/citation._full_string&gt;&lt;citation._current_format&gt;Full.CaseCitation&lt;/citation._current_format&gt;&lt;citation.name&gt;&lt;/citation.name&gt;&lt;citation.key0&gt;,&lt;/citation.key0&gt;&lt;citation.value0&gt;,&lt;/citation.value0&gt;&lt;citation.key1&gt;CaseName&lt;/citation.key1&gt;&lt;citation.value1&gt;Schiller &amp; Schmidt v. Nordisco Corp. &lt;/citation.value1&gt;&lt;citation.key2&gt;CaseName.FirstParty&lt;/citation.key2&gt;&lt;citation.value2&gt;Schiller &amp; Schmidt &lt;/citation.value2&gt;&lt;citation.key3&gt;CaseName.FirstParty.Party&lt;/citation.key3&gt;&lt;citation.value3&gt;Schiller &amp; Schmidt&lt;/citation.value3&gt;&lt;citation.key4&gt;CaseName.FirstParty._Pattern&lt;/citation.key4&gt;&lt;citation.value4&gt;Party.Party&lt;/citation.value4&gt;&lt;citation.key5&gt;CaseName.SecondParty&lt;/citation.key5&gt;&lt;citation.value5&gt;Nordisco Corp. &lt;/citation.value5&gt;&lt;citation.key6&gt;CaseName.SecondParty.Party&lt;/citation.key6&gt;&lt;citation.value6&gt;Nordisco Corp.&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7th Cir. 1992) &lt;/citation.value10&gt;&lt;citation.key11&gt;CourtParenthetical.CourtName&lt;/citation.key11&gt;&lt;citation.value11&gt;7th Cir. &lt;/citation.value11&gt;&lt;citation.key12&gt;CourtParenthetical.CourtName.CourtName&lt;/citation.key12&gt;&lt;citation.value12&gt;7th Cir.&lt;/citation.value12&gt;&lt;citation.key13&gt;CourtParenthetical.CourtName._Pattern&lt;/citation.key13&gt;&lt;citation.value13&gt;CourtName.CourtName&lt;/citation.value13&gt;&lt;citation.key14&gt;CourtParenthetical.Date&lt;/citation.key14&gt;&lt;citation.value14&gt;1992 &lt;/citation.value14&gt;&lt;citation.key15&gt;CourtParenthetical.Date.Year&lt;/citation.key15&gt;&lt;citation.value15&gt;1992 &lt;/citation.value15&gt;&lt;citation.key16&gt;CourtParenthetical.Date.Year.Year&lt;/citation.key16&gt;&lt;citation.value16&gt;1992&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410 &lt;/citation.value32&gt;&lt;citation.key33&gt;Reporter.FirstPage&lt;/citation.key33&gt;&lt;citation.value33&gt;410&lt;/citation.value33&gt;&lt;citation.key34&gt;Reporter.Name&lt;/citation.key34&gt;&lt;citation.value34&gt;F.2d&lt;/citation.value34&gt;&lt;citation.key35&gt;Reporter.Volume&lt;/citation.key35&gt;&lt;citation.value35&gt;969&lt;/citation.value35&gt;&lt;citation.key36&gt;Reporter.[&lt;/citation.key36&gt;&lt;citation.value36&gt;[&lt;/citation.value36&gt;&lt;citation.key37&gt;Reporter.]&lt;/citation.key37&gt;&lt;citation.value37&gt;]&lt;/citation.value37&gt;&lt;citation.key38&gt;Reporter._Pattern&lt;/citation.key38&gt;&lt;citation.value38&gt;ShortReporter.ShortReporter&lt;/citation.value38&gt;&lt;citation.key39&gt;Reporter.page&lt;/citation.key39&gt;&lt;citation.value39&gt;page&lt;/citation.value39&gt;&lt;citation.key40&gt;RequiredComma&lt;/citation.key40&gt;&lt;citation.value40&gt;, &lt;/citation.value40&gt;&lt;citation.key41&gt;RequiredComma.Comma&lt;/citation.key41&gt;&lt;citation.value41&gt;,&lt;/citation.value41&gt;&lt;citation.key42&gt;RequiredComma._Pattern&lt;/citation.key42&gt;&lt;citation.value42&gt;RequiredComma.RequiredComma&lt;/citation.value42&gt;&lt;citation.key43&gt;supra&lt;/citation.key43&gt;&lt;citation.value43&gt;&lt;/citation.value43&gt;&lt;citation.key44&gt;supra.,&lt;/citation.key44&gt;&lt;citation.value44&gt;, &lt;/citation.value44&gt;&lt;citation.key45&gt;supra._Pattern&lt;/citation.key45&gt;&lt;citation.value45&gt;ShortCaseSupra.ShortCaseSupra&lt;/citation.value45&gt;&lt;citation.key46&gt;supra.supra&lt;/citation.key46&gt;&lt;citation.value46&gt;supra&lt;/citation.value46&gt;&lt;/citation&gt;_x000a_"/>
    <w:docVar w:name="CITRUS_BOOKMARK69[0]" w:val="&lt;#1&gt;&lt;citation&gt;&lt;citation._original_string&gt;Schiller &amp; Schmidt v. Nordisco Corp., 969 F.2d 410 (7th Cir. 1992)&lt;/citation._original_string&gt;&lt;citation._current_string&gt;Schiller &amp; Schmidt v. Nordisco Corp., 969 F.2d 410 (7th Cir. 1992)&lt;/citation._current_string&gt;&lt;citation._full_string&gt;Schiller &amp; Schmidt v. Nordisco Corp., 969 F.2d 410 (7th Cir. 1992)&lt;/citation._full_string&gt;&lt;citation._current_format&gt;Full.CaseCitation&lt;/citation._current_format&gt;&lt;citation.name&gt;&lt;/citation.name&gt;&lt;citation.key0&gt;,&lt;/citation.key0&gt;&lt;citation.value0&gt;,&lt;/citation.value0&gt;&lt;citation.key1&gt;CaseName&lt;/citation.key1&gt;&lt;citation.value1&gt;Schiller &amp; Schmidt v. Nordisco Corp. &lt;/citation.value1&gt;&lt;citation.key2&gt;CaseName.FirstParty&lt;/citation.key2&gt;&lt;citation.value2&gt;Schiller &amp; Schmidt &lt;/citation.value2&gt;&lt;citation.key3&gt;CaseName.FirstParty.Party&lt;/citation.key3&gt;&lt;citation.value3&gt;Schiller &amp; Schmidt&lt;/citation.value3&gt;&lt;citation.key4&gt;CaseName.FirstParty._Pattern&lt;/citation.key4&gt;&lt;citation.value4&gt;Party.Party&lt;/citation.value4&gt;&lt;citation.key5&gt;CaseName.SecondParty&lt;/citation.key5&gt;&lt;citation.value5&gt;Nordisco Corp. &lt;/citation.value5&gt;&lt;citation.key6&gt;CaseName.SecondParty.Party&lt;/citation.key6&gt;&lt;citation.value6&gt;Nordisco Corp.&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7th Cir. 1992) &lt;/citation.value10&gt;&lt;citation.key11&gt;CourtParenthetical.CourtName&lt;/citation.key11&gt;&lt;citation.value11&gt;7th Cir. &lt;/citation.value11&gt;&lt;citation.key12&gt;CourtParenthetical.CourtName.CourtName&lt;/citation.key12&gt;&lt;citation.value12&gt;7th Cir.&lt;/citation.value12&gt;&lt;citation.key13&gt;CourtParenthetical.CourtName._Pattern&lt;/citation.key13&gt;&lt;citation.value13&gt;CourtName.CourtName&lt;/citation.value13&gt;&lt;citation.key14&gt;CourtParenthetical.Date&lt;/citation.key14&gt;&lt;citation.value14&gt;1992 &lt;/citation.value14&gt;&lt;citation.key15&gt;CourtParenthetical.Date.Year&lt;/citation.key15&gt;&lt;citation.value15&gt;1992 &lt;/citation.value15&gt;&lt;citation.key16&gt;CourtParenthetical.Date.Year.Year&lt;/citation.key16&gt;&lt;citation.value16&gt;1992&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410 &lt;/citation.value32&gt;&lt;citation.key33&gt;Reporter.FirstPage&lt;/citation.key33&gt;&lt;citation.value33&gt;410&lt;/citation.value33&gt;&lt;citation.key34&gt;Reporter.Name&lt;/citation.key34&gt;&lt;citation.value34&gt;F.2d&lt;/citation.value34&gt;&lt;citation.key35&gt;Reporter.Volume&lt;/citation.key35&gt;&lt;citation.value35&gt;969&lt;/citation.value35&gt;&lt;citation.key36&gt;Reporter.[&lt;/citation.key36&gt;&lt;citation.value36&gt;[&lt;/citation.value36&gt;&lt;citation.key37&gt;Reporter.]&lt;/citation.key37&gt;&lt;citation.value37&gt;]&lt;/citation.value37&gt;&lt;citation.key38&gt;Reporter._Pattern&lt;/citation.key38&gt;&lt;citation.value38&gt;ShortReporter.ShortReporter&lt;/citation.value38&gt;&lt;citation.key39&gt;Reporter.page&lt;/citation.key39&gt;&lt;citation.value39&gt;page&lt;/citation.value39&gt;&lt;citation.key40&gt;RequiredComma&lt;/citation.key40&gt;&lt;citation.value40&gt;, &lt;/citation.value40&gt;&lt;citation.key41&gt;RequiredComma.Comma&lt;/citation.key41&gt;&lt;citation.value41&gt;,&lt;/citation.value41&gt;&lt;citation.key42&gt;RequiredComma._Pattern&lt;/citation.key42&gt;&lt;citation.value42&gt;RequiredComma.RequiredComma&lt;/citation.value42&gt;&lt;citation.key43&gt;supra&lt;/citation.key43&gt;&lt;citation.value43&gt;&lt;/citation.value43&gt;&lt;citation.key44&gt;supra.,&lt;/citation.key44&gt;&lt;citation.value44&gt;, &lt;/citation.value44&gt;&lt;citation.key45&gt;supra._Pattern&lt;/citation.key45&gt;&lt;citation.value45&gt;ShortCaseSupra.ShortCaseSupra&lt;/citation.value45&gt;&lt;citation.key46&gt;supra.supra&lt;/citation.key46&gt;&lt;citation.value46&gt;supra&lt;/citation.value46&gt;&lt;/citation&gt;_x000a_"/>
    <w:docVar w:name="CITRUS_BOOKMARK72[0]" w:val="&lt;#1&gt;&lt;citation&gt;&lt;citation._original_string&gt;Imperial Residential Design v. Palms Dev. Group, 70 F.3d 96, 99 (11th Cir. 1995)&lt;/citation._original_string&gt;&lt;citation._current_string&gt;Id.&lt;/citation._current_string&gt;&lt;citation._full_string&gt;Imperial Residential Design v. Palms Dev. Group, 70 F.3d 96, 99 (11th Cir. 1995)&lt;/citation._full_string&gt;&lt;citation._current_format&gt;Id.CaseUId&lt;/citation._current_format&gt;&lt;citation.name&gt;&lt;/citation.name&gt;&lt;citation.key0&gt;,&lt;/citation.key0&gt;&lt;citation.value0&gt;,&lt;/citation.value0&gt;&lt;citation.key1&gt;CaseName&lt;/citation.key1&gt;&lt;citation.value1&gt;Imperial Residential Design v. Palms Dev. Group &lt;/citation.value1&gt;&lt;citation.key2&gt;CaseName.FirstParty&lt;/citation.key2&gt;&lt;citation.value2&gt;Imperial Residential Design &lt;/citation.value2&gt;&lt;citation.key3&gt;CaseName.FirstParty.Party&lt;/citation.key3&gt;&lt;citation.value3&gt;Imperial Residential Design&lt;/citation.value3&gt;&lt;citation.key4&gt;CaseName.FirstParty._Pattern&lt;/citation.key4&gt;&lt;citation.value4&gt;Party.Party&lt;/citation.value4&gt;&lt;citation.key5&gt;CaseName.SecondParty&lt;/citation.key5&gt;&lt;citation.value5&gt;Palms Dev. Group &lt;/citation.value5&gt;&lt;citation.key6&gt;CaseName.SecondParty.Party&lt;/citation.key6&gt;&lt;citation.value6&gt;Palms Dev. Group&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1th Cir. 1995) &lt;/citation.value10&gt;&lt;citation.key11&gt;CourtParenthetical.CourtName&lt;/citation.key11&gt;&lt;citation.value11&gt;11th Cir. &lt;/citation.value11&gt;&lt;citation.key12&gt;CourtParenthetical.CourtName.CourtName&lt;/citation.key12&gt;&lt;citation.value12&gt;11th Cir.&lt;/citation.value12&gt;&lt;citation.key13&gt;CourtParenthetical.CourtName._Pattern&lt;/citation.key13&gt;&lt;citation.value13&gt;CourtName.CourtName&lt;/citation.value13&gt;&lt;citation.key14&gt;CourtParenthetical.Date&lt;/citation.key14&gt;&lt;citation.value14&gt;1995 &lt;/citation.value14&gt;&lt;citation.key15&gt;CourtParenthetical.Date.Year&lt;/citation.key15&gt;&lt;citation.value15&gt;1995 &lt;/citation.value15&gt;&lt;citation.key16&gt;CourtParenthetical.Date.Year.Year&lt;/citation.key16&gt;&lt;citation.value16&gt;1995&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70 F.3d at 99&lt;/citation.value32&gt;&lt;citation.key33&gt;Reporter.FirstPage&lt;/citation.key33&gt;&lt;citation.value33&gt;96&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70&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99&lt;/citation.value42&gt;&lt;citation.key43&gt;Reporter.__PinPages.First&lt;/citation.key43&gt;&lt;citation.value43&gt;99&lt;/citation.value43&gt;&lt;citation.key44&gt;Reporter.__PinPages.First._Pattern&lt;/citation.key44&gt;&lt;citation.value44&gt;FirstPageInRange.FirstPageInRange&lt;/citation.value44&gt;&lt;citation.key45&gt;Reporter.__PinPages.First.__PageNumber&lt;/citation.key45&gt;&lt;citation.value45&gt;99&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73[0]" w:val="&lt;#1&gt;&lt;citation&gt;&lt;citation._original_string&gt;Imperial Residential Design v. Palms Dev. Group, 70 F.3d 96, 99 (11th Cir. 1995)&lt;/citation._original_string&gt;&lt;citation._current_string&gt;Id.&lt;/citation._current_string&gt;&lt;citation._full_string&gt;Imperial Residential Design v. Palms Dev. Group, 70 F.3d 96, 99 (11th Cir. 1995)&lt;/citation._full_string&gt;&lt;citation._current_format&gt;Id.CaseUId&lt;/citation._current_format&gt;&lt;citation.name&gt;&lt;/citation.name&gt;&lt;citation.key0&gt;,&lt;/citation.key0&gt;&lt;citation.value0&gt;,&lt;/citation.value0&gt;&lt;citation.key1&gt;CaseName&lt;/citation.key1&gt;&lt;citation.value1&gt;Imperial Residential Design v. Palms Dev. Group &lt;/citation.value1&gt;&lt;citation.key2&gt;CaseName.FirstParty&lt;/citation.key2&gt;&lt;citation.value2&gt;Imperial Residential Design &lt;/citation.value2&gt;&lt;citation.key3&gt;CaseName.FirstParty.Party&lt;/citation.key3&gt;&lt;citation.value3&gt;Imperial Residential Design&lt;/citation.value3&gt;&lt;citation.key4&gt;CaseName.FirstParty._Pattern&lt;/citation.key4&gt;&lt;citation.value4&gt;Party.Party&lt;/citation.value4&gt;&lt;citation.key5&gt;CaseName.SecondParty&lt;/citation.key5&gt;&lt;citation.value5&gt;Palms Dev. Group &lt;/citation.value5&gt;&lt;citation.key6&gt;CaseName.SecondParty.Party&lt;/citation.key6&gt;&lt;citation.value6&gt;Palms Dev. Group&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1th Cir. 1995) &lt;/citation.value10&gt;&lt;citation.key11&gt;CourtParenthetical.CourtName&lt;/citation.key11&gt;&lt;citation.value11&gt;11th Cir. &lt;/citation.value11&gt;&lt;citation.key12&gt;CourtParenthetical.CourtName.CourtName&lt;/citation.key12&gt;&lt;citation.value12&gt;11th Cir.&lt;/citation.value12&gt;&lt;citation.key13&gt;CourtParenthetical.CourtName._Pattern&lt;/citation.key13&gt;&lt;citation.value13&gt;CourtName.CourtName&lt;/citation.value13&gt;&lt;citation.key14&gt;CourtParenthetical.Date&lt;/citation.key14&gt;&lt;citation.value14&gt;1995 &lt;/citation.value14&gt;&lt;citation.key15&gt;CourtParenthetical.Date.Year&lt;/citation.key15&gt;&lt;citation.value15&gt;1995 &lt;/citation.value15&gt;&lt;citation.key16&gt;CourtParenthetical.Date.Year.Year&lt;/citation.key16&gt;&lt;citation.value16&gt;1995&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70 F.3d at 99&lt;/citation.value32&gt;&lt;citation.key33&gt;Reporter.FirstPage&lt;/citation.key33&gt;&lt;citation.value33&gt;96&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70&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99&lt;/citation.value42&gt;&lt;citation.key43&gt;Reporter.__PinPages.First&lt;/citation.key43&gt;&lt;citation.value43&gt;99&lt;/citation.value43&gt;&lt;citation.key44&gt;Reporter.__PinPages.First._Pattern&lt;/citation.key44&gt;&lt;citation.value44&gt;FirstPageInRange.FirstPageInRange&lt;/citation.value44&gt;&lt;citation.key45&gt;Reporter.__PinPages.First.__PageNumber&lt;/citation.key45&gt;&lt;citation.value45&gt;99&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78[0]" w:val="&lt;#1&gt;&lt;citation&gt;&lt;citation._original_string&gt;Zyware, Inc. v. Middlegate, Inc., 96 CIV. 2348 (SHS), 1997 WL 685336 (S.D.N.Y. Nov. 4, 1997)&lt;/citation._original_string&gt;&lt;citation._current_string&gt;Zyware, Inc. v. Middlegate, Inc., 96 CIV. 2348 (SHS), 1997 WL 685336 (S.D.N.Y. Nov. 4, 1997)&lt;/citation._current_string&gt;&lt;citation._full_string&gt;Zyware, Inc. v. Middlegate, Inc., 96 CIV. 2348 (SHS), , 1997 WL 685336 (S.D.N.Y. Nov. 4, 1997)&lt;/citation._full_string&gt;&lt;citation._current_format&gt;Full.UnreportedCaseCitation&lt;/citation._current_format&gt;&lt;citation.name&gt;&lt;/citation.name&gt;&lt;citation.key0&gt;CaseName&lt;/citation.key0&gt;&lt;citation.value0&gt;Zyware, Inc. v. Middlegate, Inc., 96 CIV. 2348 (SHS) &lt;/citation.value0&gt;&lt;citation.key1&gt;CaseName.FirstParty&lt;/citation.key1&gt;&lt;citation.value1&gt;Zyware, Inc. &lt;/citation.value1&gt;&lt;citation.key2&gt;CaseName.FirstParty.Party&lt;/citation.key2&gt;&lt;citation.value2&gt;Zyware, Inc.&lt;/citation.value2&gt;&lt;citation.key3&gt;CaseName.FirstParty._Pattern&lt;/citation.key3&gt;&lt;citation.value3&gt;Party.Party&lt;/citation.value3&gt;&lt;citation.key4&gt;CaseName.Nickname&lt;/citation.key4&gt;&lt;citation.value4&gt; (SHS) &lt;/citation.value4&gt;&lt;citation.key5&gt;CaseName.Nickname.(&lt;/citation.key5&gt;&lt;citation.value5&gt;(&lt;/citation.value5&gt;&lt;citation.key6&gt;CaseName.Nickname.)&lt;/citation.key6&gt;&lt;citation.value6&gt;)&lt;/citation.value6&gt;&lt;citation.key7&gt;CaseName.Nickname.Nickname&lt;/citation.key7&gt;&lt;citation.value7&gt;SHS&lt;/citation.value7&gt;&lt;citation.key8&gt;CaseName.Nickname._Pattern&lt;/citation.key8&gt;&lt;citation.value8&gt;Nickname.Nickname&lt;/citation.value8&gt;&lt;citation.key9&gt;CaseName.SecondParty&lt;/citation.key9&gt;&lt;citation.value9&gt;Middlegate, Inc., 96 CIV. 2348 &lt;/citation.value9&gt;&lt;citation.key10&gt;CaseName.SecondParty.Party&lt;/citation.key10&gt;&lt;citation.value10&gt;Middlegate, Inc., 96 CIV. 2348&lt;/citation.value10&gt;&lt;citation.key11&gt;CaseName.SecondParty._Pattern&lt;/citation.key11&gt;&lt;citation.value11&gt;Party.Party&lt;/citation.value11&gt;&lt;citation.key12&gt;CaseName._Pattern&lt;/citation.key12&gt;&lt;citation.value12&gt;CaseName.CaseName&lt;/citation.value12&gt;&lt;citation.key13&gt;CaseName.v&lt;/citation.key13&gt;&lt;citation.value13&gt;v.&lt;/citation.value13&gt;&lt;citation.key14&gt;CourtParenthetical&lt;/citation.key14&gt;&lt;citation.value14&gt; (S.D.N.Y. Nov. 4, 1997) &lt;/citation.value14&gt;&lt;citation.key15&gt;CourtParenthetical.CourtName&lt;/citation.key15&gt;&lt;citation.value15&gt;S.D.N.Y. &lt;/citation.value15&gt;&lt;citation.key16&gt;CourtParenthetical.CourtName.CourtName&lt;/citation.key16&gt;&lt;citation.value16&gt;S.D.N.Y.&lt;/citation.value16&gt;&lt;citation.key17&gt;CourtParenthetical.CourtName._Pattern&lt;/citation.key17&gt;&lt;citation.value17&gt;CourtName.CourtName&lt;/citation.value17&gt;&lt;citation.key18&gt;CourtParenthetical.Date&lt;/citation.key18&gt;&lt;citation.value18&gt;Nov. 4, 1997 &lt;/citation.value18&gt;&lt;citation.key19&gt;CourtParenthetical.Date.,&lt;/citation.key19&gt;&lt;citation.value19&gt;,&lt;/citation.value19&gt;&lt;citation.key20&gt;CourtParenthetical.Date.Day&lt;/citation.key20&gt;&lt;citation.value20&gt;4&lt;/citation.value20&gt;&lt;citation.key21&gt;CourtParenthetical.Date.Month&lt;/citation.key21&gt;&lt;citation.value21&gt;Nov.&lt;/citation.value21&gt;&lt;citation.key22&gt;CourtParenthetical.Date.Year&lt;/citation.key22&gt;&lt;citation.value22&gt;1997 &lt;/citation.value22&gt;&lt;citation.key23&gt;CourtParenthetical.Date.Year.Year&lt;/citation.key23&gt;&lt;citation.value23&gt;1997&lt;/citation.value23&gt;&lt;citation.key24&gt;CourtParenthetical.Date.Year._Pattern&lt;/citation.key24&gt;&lt;citation.value24&gt;Year.Year&lt;/citation.value24&gt;&lt;citation.key25&gt;CourtParenthetical.Date._Pattern&lt;/citation.key25&gt;&lt;citation.value25&gt;Date.Date&lt;/citation.value25&gt;&lt;citation.key26&gt;CourtParenthetical.ForbiddenComma._Pattern&lt;/citation.key26&gt;&lt;citation.value26&gt;ForbiddenComma.ForbiddenComma&lt;/citation.value26&gt;&lt;citation.key27&gt;CourtParenthetical.Switch ( [ L&lt;/citation.key27&gt;&lt;citation.value27&gt; (&lt;/citation.value27&gt;&lt;citation.key28&gt;CourtParenthetical.Switch ( [ L.(&lt;/citation.key28&gt;&lt;citation.value28&gt;(&lt;/citation.value28&gt;&lt;citation.key29&gt;CourtParenthetical.Switch ( [ L._Pattern&lt;/citation.key29&gt;&lt;citation.value29&gt;Switch ( [ L.Switch ( [ L&lt;/citation.value29&gt;&lt;citation.key30&gt;CourtParenthetical.Switch ) ] R&lt;/citation.key30&gt;&lt;citation.value30&gt;) &lt;/citation.value30&gt;&lt;citation.key31&gt;CourtParenthetical.Switch ) ] R.)&lt;/citation.key31&gt;&lt;citation.value31&gt;)&lt;/citation.value31&gt;&lt;citation.key32&gt;CourtParenthetical.Switch ) ] R._Pattern&lt;/citation.key32&gt;&lt;citation.value32&gt;Switch ) ] R.Switch ) ] R&lt;/citation.value32&gt;&lt;citation.key33&gt;CourtParenthetical._Pattern&lt;/citation.key33&gt;&lt;citation.value33&gt;CourtParenthetical.CourtParenthetical&lt;/citation.value33&gt;&lt;citation.key34&gt;Id&lt;/citation.key34&gt;&lt;citation.value34&gt;Id. &lt;/citation.value34&gt;&lt;citation.key35&gt;Id.Id&lt;/citation.key35&gt;&lt;citation.value35&gt;Id.&lt;/citation.value35&gt;&lt;citation.key36&gt;Id._Pattern&lt;/citation.key36&gt;&lt;citation.value36&gt;IdGraph.IdGraph&lt;/citation.value36&gt;&lt;citation.key37&gt;RequiredComma._Pattern&lt;/citation.key37&gt;&lt;citation.value37&gt;RequiredComma.RequiredComma&lt;/citation.value37&gt;&lt;citation.key38&gt;UnreportedCase&lt;/citation.key38&gt;&lt;citation.value38&gt;, 1997 WL 685336 &lt;/citation.value38&gt;&lt;citation.key39&gt;UnreportedCase.,&lt;/citation.key39&gt;&lt;citation.value39&gt;,&lt;/citation.value39&gt;&lt;citation.key40&gt;UnreportedCase.Database&lt;/citation.key40&gt;&lt;citation.value40&gt;1997 WL 685336 &lt;/citation.value40&gt;&lt;citation.key41&gt;UnreportedCase.Database.DBReference&lt;/citation.key41&gt;&lt;citation.value41&gt;1997 WL 685336 &lt;/citation.value41&gt;&lt;citation.key42&gt;UnreportedCase.Database.DBReference.DBNumber&lt;/citation.key42&gt;&lt;citation.value42&gt;685336&lt;/citation.value42&gt;&lt;citation.key43&gt;UnreportedCase.Database.DBReference.WL&lt;/citation.key43&gt;&lt;citation.value43&gt;WL&lt;/citation.value43&gt;&lt;citation.key44&gt;UnreportedCase.Database.DBReference.Year&lt;/citation.key44&gt;&lt;citation.value44&gt;1997 &lt;/citation.value44&gt;&lt;citation.key45&gt;UnreportedCase.Database.DBReference.Year.Year&lt;/citation.key45&gt;&lt;citation.value45&gt;1997&lt;/citation.value45&gt;&lt;citation.key46&gt;UnreportedCase.Database.DBReference.Year._Pattern&lt;/citation.key46&gt;&lt;citation.value46&gt;Year.Year&lt;/citation.value46&gt;&lt;citation.key47&gt;UnreportedCase.Database.DBReference._Pattern&lt;/citation.key47&gt;&lt;citation.value47&gt;Case_DatabaseReference.Case_DatabaseReference&lt;/citation.value47&gt;&lt;citation.key48&gt;UnreportedCase.Database._Pattern&lt;/citation.key48&gt;&lt;citation.value48&gt;Case_DatabaseList.Case_DatabaseList&lt;/citation.value48&gt;&lt;citation.key49&gt;UnreportedCase._Pattern&lt;/citation.key49&gt;&lt;citation.value49&gt;UnreportedCase.UnreportedCase&lt;/citation.value49&gt;&lt;/citation&gt;_x000a_"/>
  </w:docVars>
  <w:rsids>
    <w:rsidRoot w:val="0054182C"/>
    <w:rsid w:val="00007915"/>
    <w:rsid w:val="00012613"/>
    <w:rsid w:val="00026021"/>
    <w:rsid w:val="00034795"/>
    <w:rsid w:val="000363B1"/>
    <w:rsid w:val="00042356"/>
    <w:rsid w:val="00046803"/>
    <w:rsid w:val="00050A14"/>
    <w:rsid w:val="000578F2"/>
    <w:rsid w:val="000600DA"/>
    <w:rsid w:val="00063880"/>
    <w:rsid w:val="00064D9F"/>
    <w:rsid w:val="00082548"/>
    <w:rsid w:val="000B4BC7"/>
    <w:rsid w:val="000B69D5"/>
    <w:rsid w:val="000B7E65"/>
    <w:rsid w:val="000C455F"/>
    <w:rsid w:val="000F34AD"/>
    <w:rsid w:val="000F54F8"/>
    <w:rsid w:val="0010528F"/>
    <w:rsid w:val="00113065"/>
    <w:rsid w:val="00113BB5"/>
    <w:rsid w:val="001267F4"/>
    <w:rsid w:val="001430B0"/>
    <w:rsid w:val="00143C51"/>
    <w:rsid w:val="00145C27"/>
    <w:rsid w:val="00153851"/>
    <w:rsid w:val="00157D91"/>
    <w:rsid w:val="0016532C"/>
    <w:rsid w:val="00174FC4"/>
    <w:rsid w:val="00175CE0"/>
    <w:rsid w:val="0018272C"/>
    <w:rsid w:val="0018660D"/>
    <w:rsid w:val="00187674"/>
    <w:rsid w:val="001A0413"/>
    <w:rsid w:val="001B2614"/>
    <w:rsid w:val="001B558C"/>
    <w:rsid w:val="001C1D19"/>
    <w:rsid w:val="001E6F46"/>
    <w:rsid w:val="001F6334"/>
    <w:rsid w:val="00201611"/>
    <w:rsid w:val="0021341A"/>
    <w:rsid w:val="002154D9"/>
    <w:rsid w:val="002316B3"/>
    <w:rsid w:val="00233573"/>
    <w:rsid w:val="00237FCF"/>
    <w:rsid w:val="00242338"/>
    <w:rsid w:val="00246949"/>
    <w:rsid w:val="00254332"/>
    <w:rsid w:val="0026256A"/>
    <w:rsid w:val="002659AC"/>
    <w:rsid w:val="002713B2"/>
    <w:rsid w:val="00290806"/>
    <w:rsid w:val="00293EFF"/>
    <w:rsid w:val="002A1726"/>
    <w:rsid w:val="002A1B1F"/>
    <w:rsid w:val="002A423E"/>
    <w:rsid w:val="002A5E27"/>
    <w:rsid w:val="002A7D0D"/>
    <w:rsid w:val="002B239B"/>
    <w:rsid w:val="002B3B91"/>
    <w:rsid w:val="002B7261"/>
    <w:rsid w:val="002C531E"/>
    <w:rsid w:val="002C57F2"/>
    <w:rsid w:val="002D25F4"/>
    <w:rsid w:val="002F4E46"/>
    <w:rsid w:val="00301F16"/>
    <w:rsid w:val="00304A3B"/>
    <w:rsid w:val="00305941"/>
    <w:rsid w:val="00326753"/>
    <w:rsid w:val="00327F7D"/>
    <w:rsid w:val="00335822"/>
    <w:rsid w:val="003412F4"/>
    <w:rsid w:val="00366A0F"/>
    <w:rsid w:val="0039526A"/>
    <w:rsid w:val="003A1641"/>
    <w:rsid w:val="003A18AA"/>
    <w:rsid w:val="003C27BD"/>
    <w:rsid w:val="003D5AB0"/>
    <w:rsid w:val="003D6BC3"/>
    <w:rsid w:val="003D6C82"/>
    <w:rsid w:val="003D72E3"/>
    <w:rsid w:val="003D7BA7"/>
    <w:rsid w:val="003E2E6F"/>
    <w:rsid w:val="003F1198"/>
    <w:rsid w:val="003F7781"/>
    <w:rsid w:val="0040398C"/>
    <w:rsid w:val="004240D1"/>
    <w:rsid w:val="0043459B"/>
    <w:rsid w:val="00443C5A"/>
    <w:rsid w:val="00447FDF"/>
    <w:rsid w:val="00454694"/>
    <w:rsid w:val="00455C6B"/>
    <w:rsid w:val="00457345"/>
    <w:rsid w:val="0046432F"/>
    <w:rsid w:val="004678AC"/>
    <w:rsid w:val="00473710"/>
    <w:rsid w:val="0047377C"/>
    <w:rsid w:val="004767D6"/>
    <w:rsid w:val="0047773D"/>
    <w:rsid w:val="00484092"/>
    <w:rsid w:val="00496264"/>
    <w:rsid w:val="004A4EF5"/>
    <w:rsid w:val="004A6890"/>
    <w:rsid w:val="004B262F"/>
    <w:rsid w:val="004B338A"/>
    <w:rsid w:val="004C1C9A"/>
    <w:rsid w:val="004C571F"/>
    <w:rsid w:val="004D1DAE"/>
    <w:rsid w:val="004D29D6"/>
    <w:rsid w:val="004E08BF"/>
    <w:rsid w:val="004E78AB"/>
    <w:rsid w:val="00512681"/>
    <w:rsid w:val="005131FA"/>
    <w:rsid w:val="00517CBB"/>
    <w:rsid w:val="00520307"/>
    <w:rsid w:val="00536F92"/>
    <w:rsid w:val="0054182C"/>
    <w:rsid w:val="005436A0"/>
    <w:rsid w:val="00551F7A"/>
    <w:rsid w:val="00564515"/>
    <w:rsid w:val="005903D5"/>
    <w:rsid w:val="00595AB3"/>
    <w:rsid w:val="005A54BA"/>
    <w:rsid w:val="005A62F7"/>
    <w:rsid w:val="005A64FF"/>
    <w:rsid w:val="005B1F74"/>
    <w:rsid w:val="005B33C9"/>
    <w:rsid w:val="005C60D9"/>
    <w:rsid w:val="005C7731"/>
    <w:rsid w:val="005D01A4"/>
    <w:rsid w:val="005D5CFF"/>
    <w:rsid w:val="005D60DC"/>
    <w:rsid w:val="00602D76"/>
    <w:rsid w:val="00605A3D"/>
    <w:rsid w:val="00611246"/>
    <w:rsid w:val="006118BE"/>
    <w:rsid w:val="00620A41"/>
    <w:rsid w:val="00622460"/>
    <w:rsid w:val="0063053D"/>
    <w:rsid w:val="006314AE"/>
    <w:rsid w:val="00642836"/>
    <w:rsid w:val="0065137E"/>
    <w:rsid w:val="00666079"/>
    <w:rsid w:val="00670983"/>
    <w:rsid w:val="006720BD"/>
    <w:rsid w:val="00683643"/>
    <w:rsid w:val="0068452C"/>
    <w:rsid w:val="0069106B"/>
    <w:rsid w:val="006B52CB"/>
    <w:rsid w:val="006C152B"/>
    <w:rsid w:val="006C52AB"/>
    <w:rsid w:val="006E460C"/>
    <w:rsid w:val="006E7082"/>
    <w:rsid w:val="0070323A"/>
    <w:rsid w:val="007152F7"/>
    <w:rsid w:val="00715974"/>
    <w:rsid w:val="00721C1C"/>
    <w:rsid w:val="0072561D"/>
    <w:rsid w:val="007332EC"/>
    <w:rsid w:val="00736096"/>
    <w:rsid w:val="00740D85"/>
    <w:rsid w:val="00744693"/>
    <w:rsid w:val="00755123"/>
    <w:rsid w:val="0075585D"/>
    <w:rsid w:val="00782EA6"/>
    <w:rsid w:val="007A12A4"/>
    <w:rsid w:val="007A3C09"/>
    <w:rsid w:val="007B272A"/>
    <w:rsid w:val="007B576E"/>
    <w:rsid w:val="007B6B95"/>
    <w:rsid w:val="007C5D5B"/>
    <w:rsid w:val="007D3625"/>
    <w:rsid w:val="007E1440"/>
    <w:rsid w:val="007E5463"/>
    <w:rsid w:val="007E664A"/>
    <w:rsid w:val="007F73AE"/>
    <w:rsid w:val="00804CBB"/>
    <w:rsid w:val="00805492"/>
    <w:rsid w:val="008078BF"/>
    <w:rsid w:val="0082280E"/>
    <w:rsid w:val="00844EFA"/>
    <w:rsid w:val="008471B2"/>
    <w:rsid w:val="0084740A"/>
    <w:rsid w:val="00850594"/>
    <w:rsid w:val="00857C42"/>
    <w:rsid w:val="0086648A"/>
    <w:rsid w:val="00874025"/>
    <w:rsid w:val="00875683"/>
    <w:rsid w:val="008821A8"/>
    <w:rsid w:val="0089343E"/>
    <w:rsid w:val="008B6727"/>
    <w:rsid w:val="008C7B36"/>
    <w:rsid w:val="008E2AE7"/>
    <w:rsid w:val="008E419C"/>
    <w:rsid w:val="008E489E"/>
    <w:rsid w:val="008F5D29"/>
    <w:rsid w:val="00913B3C"/>
    <w:rsid w:val="00914650"/>
    <w:rsid w:val="00915FC3"/>
    <w:rsid w:val="009211A5"/>
    <w:rsid w:val="00922EBB"/>
    <w:rsid w:val="009232D7"/>
    <w:rsid w:val="00924111"/>
    <w:rsid w:val="00925588"/>
    <w:rsid w:val="00936041"/>
    <w:rsid w:val="0094521A"/>
    <w:rsid w:val="00952E11"/>
    <w:rsid w:val="00955E81"/>
    <w:rsid w:val="00956DF3"/>
    <w:rsid w:val="009578BF"/>
    <w:rsid w:val="00960130"/>
    <w:rsid w:val="00973194"/>
    <w:rsid w:val="009749E2"/>
    <w:rsid w:val="0097756E"/>
    <w:rsid w:val="0099615D"/>
    <w:rsid w:val="009A7956"/>
    <w:rsid w:val="009A7F00"/>
    <w:rsid w:val="009B0787"/>
    <w:rsid w:val="009B278C"/>
    <w:rsid w:val="009B28C5"/>
    <w:rsid w:val="009C364E"/>
    <w:rsid w:val="009C375C"/>
    <w:rsid w:val="009C59EB"/>
    <w:rsid w:val="009D30B7"/>
    <w:rsid w:val="009F2223"/>
    <w:rsid w:val="009F2318"/>
    <w:rsid w:val="009F5772"/>
    <w:rsid w:val="009F752A"/>
    <w:rsid w:val="009F75A5"/>
    <w:rsid w:val="009F79F8"/>
    <w:rsid w:val="00A046EE"/>
    <w:rsid w:val="00A11D7D"/>
    <w:rsid w:val="00A149D6"/>
    <w:rsid w:val="00A22599"/>
    <w:rsid w:val="00A24889"/>
    <w:rsid w:val="00A31536"/>
    <w:rsid w:val="00A36006"/>
    <w:rsid w:val="00A423F8"/>
    <w:rsid w:val="00A619BF"/>
    <w:rsid w:val="00A63F95"/>
    <w:rsid w:val="00A94157"/>
    <w:rsid w:val="00A94F06"/>
    <w:rsid w:val="00AA5069"/>
    <w:rsid w:val="00AA6C1C"/>
    <w:rsid w:val="00AB1D12"/>
    <w:rsid w:val="00AB3CC5"/>
    <w:rsid w:val="00AC0BBB"/>
    <w:rsid w:val="00AC0DA1"/>
    <w:rsid w:val="00AC42AF"/>
    <w:rsid w:val="00AD53C7"/>
    <w:rsid w:val="00AD6DFE"/>
    <w:rsid w:val="00AF02A9"/>
    <w:rsid w:val="00AF114F"/>
    <w:rsid w:val="00AF7941"/>
    <w:rsid w:val="00B07C83"/>
    <w:rsid w:val="00B15CBE"/>
    <w:rsid w:val="00B24F9B"/>
    <w:rsid w:val="00B4490D"/>
    <w:rsid w:val="00B557BF"/>
    <w:rsid w:val="00B60E60"/>
    <w:rsid w:val="00B85205"/>
    <w:rsid w:val="00B860C2"/>
    <w:rsid w:val="00B9151E"/>
    <w:rsid w:val="00B9395A"/>
    <w:rsid w:val="00BA38DD"/>
    <w:rsid w:val="00BB3391"/>
    <w:rsid w:val="00BB59A2"/>
    <w:rsid w:val="00BE1471"/>
    <w:rsid w:val="00BE6245"/>
    <w:rsid w:val="00BE652E"/>
    <w:rsid w:val="00BF04D8"/>
    <w:rsid w:val="00BF51A8"/>
    <w:rsid w:val="00C010CB"/>
    <w:rsid w:val="00C04C3A"/>
    <w:rsid w:val="00C0791E"/>
    <w:rsid w:val="00C13B38"/>
    <w:rsid w:val="00C159E1"/>
    <w:rsid w:val="00C406AF"/>
    <w:rsid w:val="00C40B7D"/>
    <w:rsid w:val="00C4488E"/>
    <w:rsid w:val="00C65209"/>
    <w:rsid w:val="00C74A0B"/>
    <w:rsid w:val="00C81AD7"/>
    <w:rsid w:val="00C90D0B"/>
    <w:rsid w:val="00C92A98"/>
    <w:rsid w:val="00C931E9"/>
    <w:rsid w:val="00C93E9F"/>
    <w:rsid w:val="00CA34F8"/>
    <w:rsid w:val="00CA6949"/>
    <w:rsid w:val="00CB15C0"/>
    <w:rsid w:val="00CC14AE"/>
    <w:rsid w:val="00CD4128"/>
    <w:rsid w:val="00CD4C5E"/>
    <w:rsid w:val="00CE1046"/>
    <w:rsid w:val="00CE67D5"/>
    <w:rsid w:val="00CF7CA8"/>
    <w:rsid w:val="00D03112"/>
    <w:rsid w:val="00D14515"/>
    <w:rsid w:val="00D14EF0"/>
    <w:rsid w:val="00D1723E"/>
    <w:rsid w:val="00D32D97"/>
    <w:rsid w:val="00D42314"/>
    <w:rsid w:val="00D4398C"/>
    <w:rsid w:val="00D4643C"/>
    <w:rsid w:val="00D50726"/>
    <w:rsid w:val="00D51B7E"/>
    <w:rsid w:val="00D52989"/>
    <w:rsid w:val="00D52FBC"/>
    <w:rsid w:val="00D651D2"/>
    <w:rsid w:val="00D67EEC"/>
    <w:rsid w:val="00D70F57"/>
    <w:rsid w:val="00D75F22"/>
    <w:rsid w:val="00D76D46"/>
    <w:rsid w:val="00D94827"/>
    <w:rsid w:val="00D96361"/>
    <w:rsid w:val="00D97AA2"/>
    <w:rsid w:val="00DA6658"/>
    <w:rsid w:val="00DC340C"/>
    <w:rsid w:val="00DC4890"/>
    <w:rsid w:val="00DE006C"/>
    <w:rsid w:val="00DE3030"/>
    <w:rsid w:val="00DE67C7"/>
    <w:rsid w:val="00DF091F"/>
    <w:rsid w:val="00E04613"/>
    <w:rsid w:val="00E076A9"/>
    <w:rsid w:val="00E32099"/>
    <w:rsid w:val="00E53208"/>
    <w:rsid w:val="00E55881"/>
    <w:rsid w:val="00E5728D"/>
    <w:rsid w:val="00E62786"/>
    <w:rsid w:val="00E63919"/>
    <w:rsid w:val="00E71638"/>
    <w:rsid w:val="00E91C45"/>
    <w:rsid w:val="00E93BBD"/>
    <w:rsid w:val="00E94886"/>
    <w:rsid w:val="00EA1540"/>
    <w:rsid w:val="00EA2DB3"/>
    <w:rsid w:val="00EB2334"/>
    <w:rsid w:val="00EB4882"/>
    <w:rsid w:val="00EB64CE"/>
    <w:rsid w:val="00EB7920"/>
    <w:rsid w:val="00EC7F68"/>
    <w:rsid w:val="00ED56F7"/>
    <w:rsid w:val="00ED6997"/>
    <w:rsid w:val="00EE178A"/>
    <w:rsid w:val="00EF67AE"/>
    <w:rsid w:val="00F04C74"/>
    <w:rsid w:val="00F12039"/>
    <w:rsid w:val="00F12FEC"/>
    <w:rsid w:val="00F13A48"/>
    <w:rsid w:val="00F1527F"/>
    <w:rsid w:val="00F21A41"/>
    <w:rsid w:val="00F25B40"/>
    <w:rsid w:val="00F33B27"/>
    <w:rsid w:val="00F4182E"/>
    <w:rsid w:val="00F456A5"/>
    <w:rsid w:val="00F53886"/>
    <w:rsid w:val="00F56DC6"/>
    <w:rsid w:val="00F6530C"/>
    <w:rsid w:val="00F66E28"/>
    <w:rsid w:val="00F72B3A"/>
    <w:rsid w:val="00F806C3"/>
    <w:rsid w:val="00F932A4"/>
    <w:rsid w:val="00FA13C8"/>
    <w:rsid w:val="00FA1B17"/>
    <w:rsid w:val="00FA1F37"/>
    <w:rsid w:val="00FA509E"/>
    <w:rsid w:val="00FB3B38"/>
    <w:rsid w:val="00FD5FB4"/>
    <w:rsid w:val="00FE20B9"/>
    <w:rsid w:val="00FE226C"/>
    <w:rsid w:val="00FE33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43E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Message Header"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B55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B55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B558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496264"/>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semiHidden/>
    <w:unhideWhenUsed/>
    <w:qFormat/>
    <w:rsid w:val="001B55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B55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B55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B558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B558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54182C"/>
    <w:pPr>
      <w:spacing w:after="220" w:line="180" w:lineRule="atLeast"/>
      <w:ind w:left="835"/>
      <w:jc w:val="both"/>
    </w:pPr>
    <w:rPr>
      <w:rFonts w:ascii="Arial" w:eastAsia="Times New Roman" w:hAnsi="Arial" w:cs="Times New Roman"/>
      <w:spacing w:val="-5"/>
      <w:sz w:val="20"/>
      <w:szCs w:val="20"/>
    </w:rPr>
  </w:style>
  <w:style w:type="character" w:customStyle="1" w:styleId="BodyTextChar">
    <w:name w:val="Body Text Char"/>
    <w:basedOn w:val="DefaultParagraphFont"/>
    <w:link w:val="BodyText"/>
    <w:semiHidden/>
    <w:rsid w:val="0054182C"/>
    <w:rPr>
      <w:rFonts w:ascii="Arial" w:eastAsia="Times New Roman" w:hAnsi="Arial" w:cs="Times New Roman"/>
      <w:spacing w:val="-5"/>
      <w:sz w:val="20"/>
      <w:szCs w:val="20"/>
    </w:rPr>
  </w:style>
  <w:style w:type="paragraph" w:customStyle="1" w:styleId="DocumentLabel">
    <w:name w:val="Document Label"/>
    <w:basedOn w:val="Normal"/>
    <w:next w:val="Normal"/>
    <w:rsid w:val="0054182C"/>
    <w:pPr>
      <w:keepNext/>
      <w:keepLines/>
      <w:spacing w:before="400" w:after="120" w:line="240" w:lineRule="atLeast"/>
    </w:pPr>
    <w:rPr>
      <w:rFonts w:ascii="Arial Black" w:eastAsia="Times New Roman" w:hAnsi="Arial Black" w:cs="Times New Roman"/>
      <w:spacing w:val="-5"/>
      <w:kern w:val="28"/>
      <w:sz w:val="96"/>
      <w:szCs w:val="20"/>
    </w:rPr>
  </w:style>
  <w:style w:type="paragraph" w:styleId="MessageHeader">
    <w:name w:val="Message Header"/>
    <w:basedOn w:val="BodyText"/>
    <w:link w:val="MessageHeaderChar"/>
    <w:semiHidden/>
    <w:rsid w:val="0054182C"/>
    <w:pPr>
      <w:keepLines/>
      <w:spacing w:after="120"/>
      <w:ind w:left="1555" w:hanging="720"/>
      <w:jc w:val="left"/>
    </w:pPr>
  </w:style>
  <w:style w:type="character" w:customStyle="1" w:styleId="MessageHeaderChar">
    <w:name w:val="Message Header Char"/>
    <w:basedOn w:val="DefaultParagraphFont"/>
    <w:link w:val="MessageHeader"/>
    <w:semiHidden/>
    <w:rsid w:val="0054182C"/>
    <w:rPr>
      <w:rFonts w:ascii="Arial" w:eastAsia="Times New Roman" w:hAnsi="Arial" w:cs="Times New Roman"/>
      <w:spacing w:val="-5"/>
      <w:sz w:val="20"/>
      <w:szCs w:val="20"/>
    </w:rPr>
  </w:style>
  <w:style w:type="paragraph" w:customStyle="1" w:styleId="MessageHeaderFirst">
    <w:name w:val="Message Header First"/>
    <w:basedOn w:val="MessageHeader"/>
    <w:next w:val="MessageHeader"/>
    <w:rsid w:val="0054182C"/>
    <w:pPr>
      <w:spacing w:before="220"/>
    </w:pPr>
  </w:style>
  <w:style w:type="character" w:customStyle="1" w:styleId="MessageHeaderLabel">
    <w:name w:val="Message Header Label"/>
    <w:rsid w:val="0054182C"/>
    <w:rPr>
      <w:rFonts w:ascii="Arial Black" w:hAnsi="Arial Black"/>
      <w:spacing w:val="-10"/>
      <w:sz w:val="18"/>
    </w:rPr>
  </w:style>
  <w:style w:type="paragraph" w:customStyle="1" w:styleId="MessageHeaderLast">
    <w:name w:val="Message Header Last"/>
    <w:basedOn w:val="MessageHeader"/>
    <w:next w:val="BodyText"/>
    <w:rsid w:val="0054182C"/>
    <w:pPr>
      <w:pBdr>
        <w:bottom w:val="single" w:sz="6" w:space="15" w:color="auto"/>
      </w:pBdr>
      <w:spacing w:after="320"/>
    </w:pPr>
  </w:style>
  <w:style w:type="character" w:styleId="CommentReference">
    <w:name w:val="annotation reference"/>
    <w:basedOn w:val="DefaultParagraphFont"/>
    <w:uiPriority w:val="99"/>
    <w:semiHidden/>
    <w:unhideWhenUsed/>
    <w:rsid w:val="0054182C"/>
    <w:rPr>
      <w:sz w:val="16"/>
      <w:szCs w:val="16"/>
    </w:rPr>
  </w:style>
  <w:style w:type="paragraph" w:styleId="CommentText">
    <w:name w:val="annotation text"/>
    <w:basedOn w:val="Normal"/>
    <w:link w:val="CommentTextChar"/>
    <w:uiPriority w:val="99"/>
    <w:semiHidden/>
    <w:unhideWhenUsed/>
    <w:rsid w:val="0054182C"/>
    <w:pPr>
      <w:spacing w:after="0" w:line="240" w:lineRule="auto"/>
      <w:ind w:left="835"/>
    </w:pPr>
    <w:rPr>
      <w:rFonts w:ascii="Arial" w:eastAsia="Times New Roman" w:hAnsi="Arial" w:cs="Times New Roman"/>
      <w:spacing w:val="-5"/>
      <w:sz w:val="20"/>
      <w:szCs w:val="20"/>
    </w:rPr>
  </w:style>
  <w:style w:type="character" w:customStyle="1" w:styleId="CommentTextChar">
    <w:name w:val="Comment Text Char"/>
    <w:basedOn w:val="DefaultParagraphFont"/>
    <w:link w:val="CommentText"/>
    <w:uiPriority w:val="99"/>
    <w:semiHidden/>
    <w:rsid w:val="0054182C"/>
    <w:rPr>
      <w:rFonts w:ascii="Arial" w:eastAsia="Times New Roman" w:hAnsi="Arial" w:cs="Times New Roman"/>
      <w:spacing w:val="-5"/>
      <w:sz w:val="20"/>
      <w:szCs w:val="20"/>
    </w:rPr>
  </w:style>
  <w:style w:type="paragraph" w:styleId="BalloonText">
    <w:name w:val="Balloon Text"/>
    <w:basedOn w:val="Normal"/>
    <w:link w:val="BalloonTextChar"/>
    <w:uiPriority w:val="99"/>
    <w:semiHidden/>
    <w:unhideWhenUsed/>
    <w:rsid w:val="005418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182C"/>
    <w:rPr>
      <w:rFonts w:ascii="Tahoma" w:hAnsi="Tahoma" w:cs="Tahoma"/>
      <w:sz w:val="16"/>
      <w:szCs w:val="16"/>
    </w:rPr>
  </w:style>
  <w:style w:type="paragraph" w:styleId="ListParagraph">
    <w:name w:val="List Paragraph"/>
    <w:basedOn w:val="Normal"/>
    <w:uiPriority w:val="34"/>
    <w:qFormat/>
    <w:rsid w:val="0054182C"/>
    <w:pPr>
      <w:spacing w:after="0" w:line="480" w:lineRule="auto"/>
      <w:ind w:left="720"/>
      <w:contextualSpacing/>
    </w:pPr>
    <w:rPr>
      <w:rFonts w:ascii="Times New Roman" w:hAnsi="Times New Roman"/>
      <w:sz w:val="24"/>
    </w:rPr>
  </w:style>
  <w:style w:type="paragraph" w:customStyle="1" w:styleId="Default">
    <w:name w:val="Default"/>
    <w:rsid w:val="0074469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1">
    <w:name w:val="Table Grid1"/>
    <w:basedOn w:val="TableNormal"/>
    <w:next w:val="TableGrid"/>
    <w:uiPriority w:val="59"/>
    <w:rsid w:val="00EB2334"/>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EB23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searchterm">
    <w:name w:val="co_searchterm"/>
    <w:basedOn w:val="DefaultParagraphFont"/>
    <w:rsid w:val="00874025"/>
  </w:style>
  <w:style w:type="character" w:customStyle="1" w:styleId="Heading4Char">
    <w:name w:val="Heading 4 Char"/>
    <w:basedOn w:val="DefaultParagraphFont"/>
    <w:link w:val="Heading4"/>
    <w:uiPriority w:val="9"/>
    <w:rsid w:val="0049626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9626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96264"/>
    <w:rPr>
      <w:color w:val="0000FF"/>
      <w:u w:val="single"/>
    </w:rPr>
  </w:style>
  <w:style w:type="character" w:styleId="FollowedHyperlink">
    <w:name w:val="FollowedHyperlink"/>
    <w:basedOn w:val="DefaultParagraphFont"/>
    <w:uiPriority w:val="99"/>
    <w:semiHidden/>
    <w:unhideWhenUsed/>
    <w:rsid w:val="00026021"/>
    <w:rPr>
      <w:color w:val="800080" w:themeColor="followedHyperlink"/>
      <w:u w:val="single"/>
    </w:rPr>
  </w:style>
  <w:style w:type="character" w:styleId="Emphasis">
    <w:name w:val="Emphasis"/>
    <w:basedOn w:val="DefaultParagraphFont"/>
    <w:uiPriority w:val="20"/>
    <w:qFormat/>
    <w:rsid w:val="00BB59A2"/>
    <w:rPr>
      <w:i/>
      <w:iCs/>
    </w:rPr>
  </w:style>
  <w:style w:type="character" w:customStyle="1" w:styleId="costarpage">
    <w:name w:val="co_starpage"/>
    <w:basedOn w:val="DefaultParagraphFont"/>
    <w:rsid w:val="00F13A48"/>
  </w:style>
  <w:style w:type="character" w:customStyle="1" w:styleId="st">
    <w:name w:val="st"/>
    <w:basedOn w:val="DefaultParagraphFont"/>
    <w:rsid w:val="00F21A41"/>
  </w:style>
  <w:style w:type="character" w:styleId="Strong">
    <w:name w:val="Strong"/>
    <w:basedOn w:val="DefaultParagraphFont"/>
    <w:uiPriority w:val="22"/>
    <w:qFormat/>
    <w:rsid w:val="00875683"/>
    <w:rPr>
      <w:b/>
      <w:bCs/>
    </w:rPr>
  </w:style>
  <w:style w:type="paragraph" w:styleId="EndnoteText">
    <w:name w:val="endnote text"/>
    <w:basedOn w:val="Normal"/>
    <w:link w:val="EndnoteTextChar"/>
    <w:uiPriority w:val="99"/>
    <w:semiHidden/>
    <w:unhideWhenUsed/>
    <w:rsid w:val="002A5E2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A5E27"/>
    <w:rPr>
      <w:sz w:val="20"/>
      <w:szCs w:val="20"/>
    </w:rPr>
  </w:style>
  <w:style w:type="character" w:styleId="EndnoteReference">
    <w:name w:val="endnote reference"/>
    <w:basedOn w:val="DefaultParagraphFont"/>
    <w:uiPriority w:val="99"/>
    <w:semiHidden/>
    <w:unhideWhenUsed/>
    <w:rsid w:val="002A5E27"/>
    <w:rPr>
      <w:vertAlign w:val="superscript"/>
    </w:rPr>
  </w:style>
  <w:style w:type="character" w:customStyle="1" w:styleId="Heading9Char">
    <w:name w:val="Heading 9 Char"/>
    <w:basedOn w:val="DefaultParagraphFont"/>
    <w:link w:val="Heading9"/>
    <w:uiPriority w:val="9"/>
    <w:semiHidden/>
    <w:rsid w:val="001B558C"/>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1B558C"/>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1B558C"/>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1B558C"/>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1B558C"/>
    <w:rPr>
      <w:rFonts w:asciiTheme="majorHAnsi" w:eastAsiaTheme="majorEastAsia" w:hAnsiTheme="majorHAnsi" w:cstheme="majorBidi"/>
      <w:color w:val="243F60" w:themeColor="accent1" w:themeShade="7F"/>
    </w:rPr>
  </w:style>
  <w:style w:type="character" w:customStyle="1" w:styleId="Heading3Char">
    <w:name w:val="Heading 3 Char"/>
    <w:basedOn w:val="DefaultParagraphFont"/>
    <w:link w:val="Heading3"/>
    <w:uiPriority w:val="9"/>
    <w:semiHidden/>
    <w:rsid w:val="001B558C"/>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1B558C"/>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1B558C"/>
    <w:rPr>
      <w:rFonts w:asciiTheme="majorHAnsi" w:eastAsiaTheme="majorEastAsia" w:hAnsiTheme="majorHAnsi" w:cstheme="majorBidi"/>
      <w:b/>
      <w:bCs/>
      <w:color w:val="365F91" w:themeColor="accent1" w:themeShade="BF"/>
      <w:sz w:val="28"/>
      <w:szCs w:val="28"/>
    </w:rPr>
  </w:style>
  <w:style w:type="paragraph" w:styleId="CommentSubject">
    <w:name w:val="annotation subject"/>
    <w:basedOn w:val="CommentText"/>
    <w:next w:val="CommentText"/>
    <w:link w:val="CommentSubjectChar"/>
    <w:uiPriority w:val="99"/>
    <w:semiHidden/>
    <w:unhideWhenUsed/>
    <w:rsid w:val="00CA6949"/>
    <w:pPr>
      <w:spacing w:after="200"/>
      <w:ind w:left="0"/>
    </w:pPr>
    <w:rPr>
      <w:rFonts w:asciiTheme="minorHAnsi" w:eastAsiaTheme="minorHAnsi" w:hAnsiTheme="minorHAnsi" w:cstheme="minorBidi"/>
      <w:b/>
      <w:bCs/>
      <w:spacing w:val="0"/>
    </w:rPr>
  </w:style>
  <w:style w:type="character" w:customStyle="1" w:styleId="CommentSubjectChar">
    <w:name w:val="Comment Subject Char"/>
    <w:basedOn w:val="CommentTextChar"/>
    <w:link w:val="CommentSubject"/>
    <w:uiPriority w:val="99"/>
    <w:semiHidden/>
    <w:rsid w:val="00CA6949"/>
    <w:rPr>
      <w:rFonts w:ascii="Arial" w:eastAsia="Times New Roman" w:hAnsi="Arial" w:cs="Times New Roman"/>
      <w:b/>
      <w:bCs/>
      <w:spacing w:val="-5"/>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Message Header"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B55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B55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B558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496264"/>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semiHidden/>
    <w:unhideWhenUsed/>
    <w:qFormat/>
    <w:rsid w:val="001B55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B55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B55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B558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B558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54182C"/>
    <w:pPr>
      <w:spacing w:after="220" w:line="180" w:lineRule="atLeast"/>
      <w:ind w:left="835"/>
      <w:jc w:val="both"/>
    </w:pPr>
    <w:rPr>
      <w:rFonts w:ascii="Arial" w:eastAsia="Times New Roman" w:hAnsi="Arial" w:cs="Times New Roman"/>
      <w:spacing w:val="-5"/>
      <w:sz w:val="20"/>
      <w:szCs w:val="20"/>
    </w:rPr>
  </w:style>
  <w:style w:type="character" w:customStyle="1" w:styleId="BodyTextChar">
    <w:name w:val="Body Text Char"/>
    <w:basedOn w:val="DefaultParagraphFont"/>
    <w:link w:val="BodyText"/>
    <w:semiHidden/>
    <w:rsid w:val="0054182C"/>
    <w:rPr>
      <w:rFonts w:ascii="Arial" w:eastAsia="Times New Roman" w:hAnsi="Arial" w:cs="Times New Roman"/>
      <w:spacing w:val="-5"/>
      <w:sz w:val="20"/>
      <w:szCs w:val="20"/>
    </w:rPr>
  </w:style>
  <w:style w:type="paragraph" w:customStyle="1" w:styleId="DocumentLabel">
    <w:name w:val="Document Label"/>
    <w:basedOn w:val="Normal"/>
    <w:next w:val="Normal"/>
    <w:rsid w:val="0054182C"/>
    <w:pPr>
      <w:keepNext/>
      <w:keepLines/>
      <w:spacing w:before="400" w:after="120" w:line="240" w:lineRule="atLeast"/>
    </w:pPr>
    <w:rPr>
      <w:rFonts w:ascii="Arial Black" w:eastAsia="Times New Roman" w:hAnsi="Arial Black" w:cs="Times New Roman"/>
      <w:spacing w:val="-5"/>
      <w:kern w:val="28"/>
      <w:sz w:val="96"/>
      <w:szCs w:val="20"/>
    </w:rPr>
  </w:style>
  <w:style w:type="paragraph" w:styleId="MessageHeader">
    <w:name w:val="Message Header"/>
    <w:basedOn w:val="BodyText"/>
    <w:link w:val="MessageHeaderChar"/>
    <w:semiHidden/>
    <w:rsid w:val="0054182C"/>
    <w:pPr>
      <w:keepLines/>
      <w:spacing w:after="120"/>
      <w:ind w:left="1555" w:hanging="720"/>
      <w:jc w:val="left"/>
    </w:pPr>
  </w:style>
  <w:style w:type="character" w:customStyle="1" w:styleId="MessageHeaderChar">
    <w:name w:val="Message Header Char"/>
    <w:basedOn w:val="DefaultParagraphFont"/>
    <w:link w:val="MessageHeader"/>
    <w:semiHidden/>
    <w:rsid w:val="0054182C"/>
    <w:rPr>
      <w:rFonts w:ascii="Arial" w:eastAsia="Times New Roman" w:hAnsi="Arial" w:cs="Times New Roman"/>
      <w:spacing w:val="-5"/>
      <w:sz w:val="20"/>
      <w:szCs w:val="20"/>
    </w:rPr>
  </w:style>
  <w:style w:type="paragraph" w:customStyle="1" w:styleId="MessageHeaderFirst">
    <w:name w:val="Message Header First"/>
    <w:basedOn w:val="MessageHeader"/>
    <w:next w:val="MessageHeader"/>
    <w:rsid w:val="0054182C"/>
    <w:pPr>
      <w:spacing w:before="220"/>
    </w:pPr>
  </w:style>
  <w:style w:type="character" w:customStyle="1" w:styleId="MessageHeaderLabel">
    <w:name w:val="Message Header Label"/>
    <w:rsid w:val="0054182C"/>
    <w:rPr>
      <w:rFonts w:ascii="Arial Black" w:hAnsi="Arial Black"/>
      <w:spacing w:val="-10"/>
      <w:sz w:val="18"/>
    </w:rPr>
  </w:style>
  <w:style w:type="paragraph" w:customStyle="1" w:styleId="MessageHeaderLast">
    <w:name w:val="Message Header Last"/>
    <w:basedOn w:val="MessageHeader"/>
    <w:next w:val="BodyText"/>
    <w:rsid w:val="0054182C"/>
    <w:pPr>
      <w:pBdr>
        <w:bottom w:val="single" w:sz="6" w:space="15" w:color="auto"/>
      </w:pBdr>
      <w:spacing w:after="320"/>
    </w:pPr>
  </w:style>
  <w:style w:type="character" w:styleId="CommentReference">
    <w:name w:val="annotation reference"/>
    <w:basedOn w:val="DefaultParagraphFont"/>
    <w:uiPriority w:val="99"/>
    <w:semiHidden/>
    <w:unhideWhenUsed/>
    <w:rsid w:val="0054182C"/>
    <w:rPr>
      <w:sz w:val="16"/>
      <w:szCs w:val="16"/>
    </w:rPr>
  </w:style>
  <w:style w:type="paragraph" w:styleId="CommentText">
    <w:name w:val="annotation text"/>
    <w:basedOn w:val="Normal"/>
    <w:link w:val="CommentTextChar"/>
    <w:uiPriority w:val="99"/>
    <w:semiHidden/>
    <w:unhideWhenUsed/>
    <w:rsid w:val="0054182C"/>
    <w:pPr>
      <w:spacing w:after="0" w:line="240" w:lineRule="auto"/>
      <w:ind w:left="835"/>
    </w:pPr>
    <w:rPr>
      <w:rFonts w:ascii="Arial" w:eastAsia="Times New Roman" w:hAnsi="Arial" w:cs="Times New Roman"/>
      <w:spacing w:val="-5"/>
      <w:sz w:val="20"/>
      <w:szCs w:val="20"/>
    </w:rPr>
  </w:style>
  <w:style w:type="character" w:customStyle="1" w:styleId="CommentTextChar">
    <w:name w:val="Comment Text Char"/>
    <w:basedOn w:val="DefaultParagraphFont"/>
    <w:link w:val="CommentText"/>
    <w:uiPriority w:val="99"/>
    <w:semiHidden/>
    <w:rsid w:val="0054182C"/>
    <w:rPr>
      <w:rFonts w:ascii="Arial" w:eastAsia="Times New Roman" w:hAnsi="Arial" w:cs="Times New Roman"/>
      <w:spacing w:val="-5"/>
      <w:sz w:val="20"/>
      <w:szCs w:val="20"/>
    </w:rPr>
  </w:style>
  <w:style w:type="paragraph" w:styleId="BalloonText">
    <w:name w:val="Balloon Text"/>
    <w:basedOn w:val="Normal"/>
    <w:link w:val="BalloonTextChar"/>
    <w:uiPriority w:val="99"/>
    <w:semiHidden/>
    <w:unhideWhenUsed/>
    <w:rsid w:val="005418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182C"/>
    <w:rPr>
      <w:rFonts w:ascii="Tahoma" w:hAnsi="Tahoma" w:cs="Tahoma"/>
      <w:sz w:val="16"/>
      <w:szCs w:val="16"/>
    </w:rPr>
  </w:style>
  <w:style w:type="paragraph" w:styleId="ListParagraph">
    <w:name w:val="List Paragraph"/>
    <w:basedOn w:val="Normal"/>
    <w:uiPriority w:val="34"/>
    <w:qFormat/>
    <w:rsid w:val="0054182C"/>
    <w:pPr>
      <w:spacing w:after="0" w:line="480" w:lineRule="auto"/>
      <w:ind w:left="720"/>
      <w:contextualSpacing/>
    </w:pPr>
    <w:rPr>
      <w:rFonts w:ascii="Times New Roman" w:hAnsi="Times New Roman"/>
      <w:sz w:val="24"/>
    </w:rPr>
  </w:style>
  <w:style w:type="paragraph" w:customStyle="1" w:styleId="Default">
    <w:name w:val="Default"/>
    <w:rsid w:val="0074469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1">
    <w:name w:val="Table Grid1"/>
    <w:basedOn w:val="TableNormal"/>
    <w:next w:val="TableGrid"/>
    <w:uiPriority w:val="59"/>
    <w:rsid w:val="00EB2334"/>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EB23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searchterm">
    <w:name w:val="co_searchterm"/>
    <w:basedOn w:val="DefaultParagraphFont"/>
    <w:rsid w:val="00874025"/>
  </w:style>
  <w:style w:type="character" w:customStyle="1" w:styleId="Heading4Char">
    <w:name w:val="Heading 4 Char"/>
    <w:basedOn w:val="DefaultParagraphFont"/>
    <w:link w:val="Heading4"/>
    <w:uiPriority w:val="9"/>
    <w:rsid w:val="0049626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9626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96264"/>
    <w:rPr>
      <w:color w:val="0000FF"/>
      <w:u w:val="single"/>
    </w:rPr>
  </w:style>
  <w:style w:type="character" w:styleId="FollowedHyperlink">
    <w:name w:val="FollowedHyperlink"/>
    <w:basedOn w:val="DefaultParagraphFont"/>
    <w:uiPriority w:val="99"/>
    <w:semiHidden/>
    <w:unhideWhenUsed/>
    <w:rsid w:val="00026021"/>
    <w:rPr>
      <w:color w:val="800080" w:themeColor="followedHyperlink"/>
      <w:u w:val="single"/>
    </w:rPr>
  </w:style>
  <w:style w:type="character" w:styleId="Emphasis">
    <w:name w:val="Emphasis"/>
    <w:basedOn w:val="DefaultParagraphFont"/>
    <w:uiPriority w:val="20"/>
    <w:qFormat/>
    <w:rsid w:val="00BB59A2"/>
    <w:rPr>
      <w:i/>
      <w:iCs/>
    </w:rPr>
  </w:style>
  <w:style w:type="character" w:customStyle="1" w:styleId="costarpage">
    <w:name w:val="co_starpage"/>
    <w:basedOn w:val="DefaultParagraphFont"/>
    <w:rsid w:val="00F13A48"/>
  </w:style>
  <w:style w:type="character" w:customStyle="1" w:styleId="st">
    <w:name w:val="st"/>
    <w:basedOn w:val="DefaultParagraphFont"/>
    <w:rsid w:val="00F21A41"/>
  </w:style>
  <w:style w:type="character" w:styleId="Strong">
    <w:name w:val="Strong"/>
    <w:basedOn w:val="DefaultParagraphFont"/>
    <w:uiPriority w:val="22"/>
    <w:qFormat/>
    <w:rsid w:val="00875683"/>
    <w:rPr>
      <w:b/>
      <w:bCs/>
    </w:rPr>
  </w:style>
  <w:style w:type="paragraph" w:styleId="EndnoteText">
    <w:name w:val="endnote text"/>
    <w:basedOn w:val="Normal"/>
    <w:link w:val="EndnoteTextChar"/>
    <w:uiPriority w:val="99"/>
    <w:semiHidden/>
    <w:unhideWhenUsed/>
    <w:rsid w:val="002A5E2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A5E27"/>
    <w:rPr>
      <w:sz w:val="20"/>
      <w:szCs w:val="20"/>
    </w:rPr>
  </w:style>
  <w:style w:type="character" w:styleId="EndnoteReference">
    <w:name w:val="endnote reference"/>
    <w:basedOn w:val="DefaultParagraphFont"/>
    <w:uiPriority w:val="99"/>
    <w:semiHidden/>
    <w:unhideWhenUsed/>
    <w:rsid w:val="002A5E27"/>
    <w:rPr>
      <w:vertAlign w:val="superscript"/>
    </w:rPr>
  </w:style>
  <w:style w:type="character" w:customStyle="1" w:styleId="Heading9Char">
    <w:name w:val="Heading 9 Char"/>
    <w:basedOn w:val="DefaultParagraphFont"/>
    <w:link w:val="Heading9"/>
    <w:uiPriority w:val="9"/>
    <w:semiHidden/>
    <w:rsid w:val="001B558C"/>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1B558C"/>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1B558C"/>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1B558C"/>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1B558C"/>
    <w:rPr>
      <w:rFonts w:asciiTheme="majorHAnsi" w:eastAsiaTheme="majorEastAsia" w:hAnsiTheme="majorHAnsi" w:cstheme="majorBidi"/>
      <w:color w:val="243F60" w:themeColor="accent1" w:themeShade="7F"/>
    </w:rPr>
  </w:style>
  <w:style w:type="character" w:customStyle="1" w:styleId="Heading3Char">
    <w:name w:val="Heading 3 Char"/>
    <w:basedOn w:val="DefaultParagraphFont"/>
    <w:link w:val="Heading3"/>
    <w:uiPriority w:val="9"/>
    <w:semiHidden/>
    <w:rsid w:val="001B558C"/>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1B558C"/>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1B558C"/>
    <w:rPr>
      <w:rFonts w:asciiTheme="majorHAnsi" w:eastAsiaTheme="majorEastAsia" w:hAnsiTheme="majorHAnsi" w:cstheme="majorBidi"/>
      <w:b/>
      <w:bCs/>
      <w:color w:val="365F91" w:themeColor="accent1" w:themeShade="BF"/>
      <w:sz w:val="28"/>
      <w:szCs w:val="28"/>
    </w:rPr>
  </w:style>
  <w:style w:type="paragraph" w:styleId="CommentSubject">
    <w:name w:val="annotation subject"/>
    <w:basedOn w:val="CommentText"/>
    <w:next w:val="CommentText"/>
    <w:link w:val="CommentSubjectChar"/>
    <w:uiPriority w:val="99"/>
    <w:semiHidden/>
    <w:unhideWhenUsed/>
    <w:rsid w:val="00CA6949"/>
    <w:pPr>
      <w:spacing w:after="200"/>
      <w:ind w:left="0"/>
    </w:pPr>
    <w:rPr>
      <w:rFonts w:asciiTheme="minorHAnsi" w:eastAsiaTheme="minorHAnsi" w:hAnsiTheme="minorHAnsi" w:cstheme="minorBidi"/>
      <w:b/>
      <w:bCs/>
      <w:spacing w:val="0"/>
    </w:rPr>
  </w:style>
  <w:style w:type="character" w:customStyle="1" w:styleId="CommentSubjectChar">
    <w:name w:val="Comment Subject Char"/>
    <w:basedOn w:val="CommentTextChar"/>
    <w:link w:val="CommentSubject"/>
    <w:uiPriority w:val="99"/>
    <w:semiHidden/>
    <w:rsid w:val="00CA6949"/>
    <w:rPr>
      <w:rFonts w:ascii="Arial" w:eastAsia="Times New Roman" w:hAnsi="Arial" w:cs="Times New Roman"/>
      <w:b/>
      <w:bCs/>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356110">
      <w:bodyDiv w:val="1"/>
      <w:marLeft w:val="0"/>
      <w:marRight w:val="0"/>
      <w:marTop w:val="0"/>
      <w:marBottom w:val="0"/>
      <w:divBdr>
        <w:top w:val="none" w:sz="0" w:space="0" w:color="auto"/>
        <w:left w:val="none" w:sz="0" w:space="0" w:color="auto"/>
        <w:bottom w:val="none" w:sz="0" w:space="0" w:color="auto"/>
        <w:right w:val="none" w:sz="0" w:space="0" w:color="auto"/>
      </w:divBdr>
      <w:divsChild>
        <w:div w:id="1006861494">
          <w:marLeft w:val="0"/>
          <w:marRight w:val="0"/>
          <w:marTop w:val="0"/>
          <w:marBottom w:val="0"/>
          <w:divBdr>
            <w:top w:val="none" w:sz="0" w:space="0" w:color="auto"/>
            <w:left w:val="none" w:sz="0" w:space="0" w:color="auto"/>
            <w:bottom w:val="none" w:sz="0" w:space="0" w:color="auto"/>
            <w:right w:val="none" w:sz="0" w:space="0" w:color="auto"/>
          </w:divBdr>
        </w:div>
        <w:div w:id="168326393">
          <w:marLeft w:val="0"/>
          <w:marRight w:val="0"/>
          <w:marTop w:val="0"/>
          <w:marBottom w:val="0"/>
          <w:divBdr>
            <w:top w:val="none" w:sz="0" w:space="0" w:color="auto"/>
            <w:left w:val="none" w:sz="0" w:space="0" w:color="auto"/>
            <w:bottom w:val="none" w:sz="0" w:space="0" w:color="auto"/>
            <w:right w:val="none" w:sz="0" w:space="0" w:color="auto"/>
          </w:divBdr>
        </w:div>
      </w:divsChild>
    </w:div>
    <w:div w:id="293102351">
      <w:bodyDiv w:val="1"/>
      <w:marLeft w:val="0"/>
      <w:marRight w:val="0"/>
      <w:marTop w:val="0"/>
      <w:marBottom w:val="0"/>
      <w:divBdr>
        <w:top w:val="none" w:sz="0" w:space="0" w:color="auto"/>
        <w:left w:val="none" w:sz="0" w:space="0" w:color="auto"/>
        <w:bottom w:val="none" w:sz="0" w:space="0" w:color="auto"/>
        <w:right w:val="none" w:sz="0" w:space="0" w:color="auto"/>
      </w:divBdr>
      <w:divsChild>
        <w:div w:id="316955388">
          <w:marLeft w:val="0"/>
          <w:marRight w:val="0"/>
          <w:marTop w:val="0"/>
          <w:marBottom w:val="0"/>
          <w:divBdr>
            <w:top w:val="none" w:sz="0" w:space="0" w:color="auto"/>
            <w:left w:val="none" w:sz="0" w:space="0" w:color="auto"/>
            <w:bottom w:val="none" w:sz="0" w:space="0" w:color="auto"/>
            <w:right w:val="none" w:sz="0" w:space="0" w:color="auto"/>
          </w:divBdr>
          <w:divsChild>
            <w:div w:id="125693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989029">
      <w:bodyDiv w:val="1"/>
      <w:marLeft w:val="0"/>
      <w:marRight w:val="0"/>
      <w:marTop w:val="0"/>
      <w:marBottom w:val="0"/>
      <w:divBdr>
        <w:top w:val="none" w:sz="0" w:space="0" w:color="auto"/>
        <w:left w:val="none" w:sz="0" w:space="0" w:color="auto"/>
        <w:bottom w:val="none" w:sz="0" w:space="0" w:color="auto"/>
        <w:right w:val="none" w:sz="0" w:space="0" w:color="auto"/>
      </w:divBdr>
      <w:divsChild>
        <w:div w:id="49038998">
          <w:marLeft w:val="0"/>
          <w:marRight w:val="0"/>
          <w:marTop w:val="0"/>
          <w:marBottom w:val="0"/>
          <w:divBdr>
            <w:top w:val="none" w:sz="0" w:space="0" w:color="auto"/>
            <w:left w:val="none" w:sz="0" w:space="0" w:color="auto"/>
            <w:bottom w:val="none" w:sz="0" w:space="0" w:color="auto"/>
            <w:right w:val="none" w:sz="0" w:space="0" w:color="auto"/>
          </w:divBdr>
          <w:divsChild>
            <w:div w:id="61617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034748">
      <w:bodyDiv w:val="1"/>
      <w:marLeft w:val="0"/>
      <w:marRight w:val="0"/>
      <w:marTop w:val="0"/>
      <w:marBottom w:val="0"/>
      <w:divBdr>
        <w:top w:val="none" w:sz="0" w:space="0" w:color="auto"/>
        <w:left w:val="none" w:sz="0" w:space="0" w:color="auto"/>
        <w:bottom w:val="none" w:sz="0" w:space="0" w:color="auto"/>
        <w:right w:val="none" w:sz="0" w:space="0" w:color="auto"/>
      </w:divBdr>
      <w:divsChild>
        <w:div w:id="493691006">
          <w:marLeft w:val="0"/>
          <w:marRight w:val="0"/>
          <w:marTop w:val="0"/>
          <w:marBottom w:val="0"/>
          <w:divBdr>
            <w:top w:val="none" w:sz="0" w:space="0" w:color="auto"/>
            <w:left w:val="none" w:sz="0" w:space="0" w:color="auto"/>
            <w:bottom w:val="none" w:sz="0" w:space="0" w:color="auto"/>
            <w:right w:val="none" w:sz="0" w:space="0" w:color="auto"/>
          </w:divBdr>
          <w:divsChild>
            <w:div w:id="2085181478">
              <w:marLeft w:val="0"/>
              <w:marRight w:val="0"/>
              <w:marTop w:val="0"/>
              <w:marBottom w:val="0"/>
              <w:divBdr>
                <w:top w:val="none" w:sz="0" w:space="0" w:color="auto"/>
                <w:left w:val="none" w:sz="0" w:space="0" w:color="auto"/>
                <w:bottom w:val="none" w:sz="0" w:space="0" w:color="auto"/>
                <w:right w:val="none" w:sz="0" w:space="0" w:color="auto"/>
              </w:divBdr>
              <w:divsChild>
                <w:div w:id="429081978">
                  <w:marLeft w:val="0"/>
                  <w:marRight w:val="0"/>
                  <w:marTop w:val="0"/>
                  <w:marBottom w:val="0"/>
                  <w:divBdr>
                    <w:top w:val="none" w:sz="0" w:space="0" w:color="auto"/>
                    <w:left w:val="none" w:sz="0" w:space="0" w:color="auto"/>
                    <w:bottom w:val="none" w:sz="0" w:space="0" w:color="auto"/>
                    <w:right w:val="none" w:sz="0" w:space="0" w:color="auto"/>
                  </w:divBdr>
                  <w:divsChild>
                    <w:div w:id="12156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10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440021">
      <w:bodyDiv w:val="1"/>
      <w:marLeft w:val="0"/>
      <w:marRight w:val="0"/>
      <w:marTop w:val="0"/>
      <w:marBottom w:val="0"/>
      <w:divBdr>
        <w:top w:val="none" w:sz="0" w:space="0" w:color="auto"/>
        <w:left w:val="none" w:sz="0" w:space="0" w:color="auto"/>
        <w:bottom w:val="none" w:sz="0" w:space="0" w:color="auto"/>
        <w:right w:val="none" w:sz="0" w:space="0" w:color="auto"/>
      </w:divBdr>
      <w:divsChild>
        <w:div w:id="1058284259">
          <w:marLeft w:val="0"/>
          <w:marRight w:val="0"/>
          <w:marTop w:val="0"/>
          <w:marBottom w:val="0"/>
          <w:divBdr>
            <w:top w:val="none" w:sz="0" w:space="0" w:color="auto"/>
            <w:left w:val="none" w:sz="0" w:space="0" w:color="auto"/>
            <w:bottom w:val="none" w:sz="0" w:space="0" w:color="auto"/>
            <w:right w:val="none" w:sz="0" w:space="0" w:color="auto"/>
          </w:divBdr>
          <w:divsChild>
            <w:div w:id="276959044">
              <w:marLeft w:val="0"/>
              <w:marRight w:val="0"/>
              <w:marTop w:val="0"/>
              <w:marBottom w:val="0"/>
              <w:divBdr>
                <w:top w:val="none" w:sz="0" w:space="0" w:color="auto"/>
                <w:left w:val="none" w:sz="0" w:space="0" w:color="auto"/>
                <w:bottom w:val="none" w:sz="0" w:space="0" w:color="auto"/>
                <w:right w:val="none" w:sz="0" w:space="0" w:color="auto"/>
              </w:divBdr>
            </w:div>
          </w:divsChild>
        </w:div>
        <w:div w:id="1711228553">
          <w:marLeft w:val="0"/>
          <w:marRight w:val="0"/>
          <w:marTop w:val="0"/>
          <w:marBottom w:val="0"/>
          <w:divBdr>
            <w:top w:val="none" w:sz="0" w:space="0" w:color="auto"/>
            <w:left w:val="none" w:sz="0" w:space="0" w:color="auto"/>
            <w:bottom w:val="none" w:sz="0" w:space="0" w:color="auto"/>
            <w:right w:val="none" w:sz="0" w:space="0" w:color="auto"/>
          </w:divBdr>
          <w:divsChild>
            <w:div w:id="1742563525">
              <w:marLeft w:val="0"/>
              <w:marRight w:val="0"/>
              <w:marTop w:val="0"/>
              <w:marBottom w:val="0"/>
              <w:divBdr>
                <w:top w:val="none" w:sz="0" w:space="0" w:color="auto"/>
                <w:left w:val="none" w:sz="0" w:space="0" w:color="auto"/>
                <w:bottom w:val="none" w:sz="0" w:space="0" w:color="auto"/>
                <w:right w:val="none" w:sz="0" w:space="0" w:color="auto"/>
              </w:divBdr>
            </w:div>
          </w:divsChild>
        </w:div>
        <w:div w:id="704212446">
          <w:marLeft w:val="0"/>
          <w:marRight w:val="0"/>
          <w:marTop w:val="0"/>
          <w:marBottom w:val="0"/>
          <w:divBdr>
            <w:top w:val="none" w:sz="0" w:space="0" w:color="auto"/>
            <w:left w:val="none" w:sz="0" w:space="0" w:color="auto"/>
            <w:bottom w:val="none" w:sz="0" w:space="0" w:color="auto"/>
            <w:right w:val="none" w:sz="0" w:space="0" w:color="auto"/>
          </w:divBdr>
          <w:divsChild>
            <w:div w:id="332529838">
              <w:marLeft w:val="0"/>
              <w:marRight w:val="0"/>
              <w:marTop w:val="0"/>
              <w:marBottom w:val="0"/>
              <w:divBdr>
                <w:top w:val="none" w:sz="0" w:space="0" w:color="auto"/>
                <w:left w:val="none" w:sz="0" w:space="0" w:color="auto"/>
                <w:bottom w:val="none" w:sz="0" w:space="0" w:color="auto"/>
                <w:right w:val="none" w:sz="0" w:space="0" w:color="auto"/>
              </w:divBdr>
            </w:div>
          </w:divsChild>
        </w:div>
        <w:div w:id="517430935">
          <w:marLeft w:val="0"/>
          <w:marRight w:val="0"/>
          <w:marTop w:val="0"/>
          <w:marBottom w:val="0"/>
          <w:divBdr>
            <w:top w:val="none" w:sz="0" w:space="0" w:color="auto"/>
            <w:left w:val="none" w:sz="0" w:space="0" w:color="auto"/>
            <w:bottom w:val="none" w:sz="0" w:space="0" w:color="auto"/>
            <w:right w:val="none" w:sz="0" w:space="0" w:color="auto"/>
          </w:divBdr>
          <w:divsChild>
            <w:div w:id="76904444">
              <w:marLeft w:val="0"/>
              <w:marRight w:val="0"/>
              <w:marTop w:val="0"/>
              <w:marBottom w:val="0"/>
              <w:divBdr>
                <w:top w:val="none" w:sz="0" w:space="0" w:color="auto"/>
                <w:left w:val="none" w:sz="0" w:space="0" w:color="auto"/>
                <w:bottom w:val="none" w:sz="0" w:space="0" w:color="auto"/>
                <w:right w:val="none" w:sz="0" w:space="0" w:color="auto"/>
              </w:divBdr>
            </w:div>
          </w:divsChild>
        </w:div>
        <w:div w:id="823277414">
          <w:marLeft w:val="0"/>
          <w:marRight w:val="0"/>
          <w:marTop w:val="0"/>
          <w:marBottom w:val="0"/>
          <w:divBdr>
            <w:top w:val="none" w:sz="0" w:space="0" w:color="auto"/>
            <w:left w:val="none" w:sz="0" w:space="0" w:color="auto"/>
            <w:bottom w:val="none" w:sz="0" w:space="0" w:color="auto"/>
            <w:right w:val="none" w:sz="0" w:space="0" w:color="auto"/>
          </w:divBdr>
          <w:divsChild>
            <w:div w:id="1975868259">
              <w:marLeft w:val="0"/>
              <w:marRight w:val="0"/>
              <w:marTop w:val="0"/>
              <w:marBottom w:val="0"/>
              <w:divBdr>
                <w:top w:val="none" w:sz="0" w:space="0" w:color="auto"/>
                <w:left w:val="none" w:sz="0" w:space="0" w:color="auto"/>
                <w:bottom w:val="none" w:sz="0" w:space="0" w:color="auto"/>
                <w:right w:val="none" w:sz="0" w:space="0" w:color="auto"/>
              </w:divBdr>
            </w:div>
            <w:div w:id="1188718694">
              <w:marLeft w:val="0"/>
              <w:marRight w:val="0"/>
              <w:marTop w:val="0"/>
              <w:marBottom w:val="0"/>
              <w:divBdr>
                <w:top w:val="none" w:sz="0" w:space="0" w:color="auto"/>
                <w:left w:val="none" w:sz="0" w:space="0" w:color="auto"/>
                <w:bottom w:val="none" w:sz="0" w:space="0" w:color="auto"/>
                <w:right w:val="none" w:sz="0" w:space="0" w:color="auto"/>
              </w:divBdr>
              <w:divsChild>
                <w:div w:id="1956211054">
                  <w:marLeft w:val="0"/>
                  <w:marRight w:val="0"/>
                  <w:marTop w:val="0"/>
                  <w:marBottom w:val="0"/>
                  <w:divBdr>
                    <w:top w:val="none" w:sz="0" w:space="0" w:color="auto"/>
                    <w:left w:val="none" w:sz="0" w:space="0" w:color="auto"/>
                    <w:bottom w:val="none" w:sz="0" w:space="0" w:color="auto"/>
                    <w:right w:val="none" w:sz="0" w:space="0" w:color="auto"/>
                  </w:divBdr>
                  <w:divsChild>
                    <w:div w:id="1796672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17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662826">
          <w:marLeft w:val="0"/>
          <w:marRight w:val="0"/>
          <w:marTop w:val="0"/>
          <w:marBottom w:val="0"/>
          <w:divBdr>
            <w:top w:val="none" w:sz="0" w:space="0" w:color="auto"/>
            <w:left w:val="none" w:sz="0" w:space="0" w:color="auto"/>
            <w:bottom w:val="none" w:sz="0" w:space="0" w:color="auto"/>
            <w:right w:val="none" w:sz="0" w:space="0" w:color="auto"/>
          </w:divBdr>
          <w:divsChild>
            <w:div w:id="1484009850">
              <w:marLeft w:val="0"/>
              <w:marRight w:val="0"/>
              <w:marTop w:val="0"/>
              <w:marBottom w:val="0"/>
              <w:divBdr>
                <w:top w:val="none" w:sz="0" w:space="0" w:color="auto"/>
                <w:left w:val="none" w:sz="0" w:space="0" w:color="auto"/>
                <w:bottom w:val="none" w:sz="0" w:space="0" w:color="auto"/>
                <w:right w:val="none" w:sz="0" w:space="0" w:color="auto"/>
              </w:divBdr>
            </w:div>
          </w:divsChild>
        </w:div>
        <w:div w:id="127675447">
          <w:marLeft w:val="0"/>
          <w:marRight w:val="0"/>
          <w:marTop w:val="0"/>
          <w:marBottom w:val="0"/>
          <w:divBdr>
            <w:top w:val="none" w:sz="0" w:space="0" w:color="auto"/>
            <w:left w:val="none" w:sz="0" w:space="0" w:color="auto"/>
            <w:bottom w:val="none" w:sz="0" w:space="0" w:color="auto"/>
            <w:right w:val="none" w:sz="0" w:space="0" w:color="auto"/>
          </w:divBdr>
          <w:divsChild>
            <w:div w:id="1032152975">
              <w:marLeft w:val="0"/>
              <w:marRight w:val="0"/>
              <w:marTop w:val="0"/>
              <w:marBottom w:val="0"/>
              <w:divBdr>
                <w:top w:val="none" w:sz="0" w:space="0" w:color="auto"/>
                <w:left w:val="none" w:sz="0" w:space="0" w:color="auto"/>
                <w:bottom w:val="none" w:sz="0" w:space="0" w:color="auto"/>
                <w:right w:val="none" w:sz="0" w:space="0" w:color="auto"/>
              </w:divBdr>
            </w:div>
          </w:divsChild>
        </w:div>
        <w:div w:id="613050899">
          <w:marLeft w:val="0"/>
          <w:marRight w:val="0"/>
          <w:marTop w:val="0"/>
          <w:marBottom w:val="0"/>
          <w:divBdr>
            <w:top w:val="none" w:sz="0" w:space="0" w:color="auto"/>
            <w:left w:val="none" w:sz="0" w:space="0" w:color="auto"/>
            <w:bottom w:val="none" w:sz="0" w:space="0" w:color="auto"/>
            <w:right w:val="none" w:sz="0" w:space="0" w:color="auto"/>
          </w:divBdr>
          <w:divsChild>
            <w:div w:id="1220360624">
              <w:marLeft w:val="0"/>
              <w:marRight w:val="0"/>
              <w:marTop w:val="0"/>
              <w:marBottom w:val="0"/>
              <w:divBdr>
                <w:top w:val="none" w:sz="0" w:space="0" w:color="auto"/>
                <w:left w:val="none" w:sz="0" w:space="0" w:color="auto"/>
                <w:bottom w:val="none" w:sz="0" w:space="0" w:color="auto"/>
                <w:right w:val="none" w:sz="0" w:space="0" w:color="auto"/>
              </w:divBdr>
            </w:div>
          </w:divsChild>
        </w:div>
        <w:div w:id="1737818357">
          <w:marLeft w:val="0"/>
          <w:marRight w:val="0"/>
          <w:marTop w:val="0"/>
          <w:marBottom w:val="0"/>
          <w:divBdr>
            <w:top w:val="none" w:sz="0" w:space="0" w:color="auto"/>
            <w:left w:val="none" w:sz="0" w:space="0" w:color="auto"/>
            <w:bottom w:val="none" w:sz="0" w:space="0" w:color="auto"/>
            <w:right w:val="none" w:sz="0" w:space="0" w:color="auto"/>
          </w:divBdr>
          <w:divsChild>
            <w:div w:id="265894582">
              <w:marLeft w:val="0"/>
              <w:marRight w:val="0"/>
              <w:marTop w:val="0"/>
              <w:marBottom w:val="0"/>
              <w:divBdr>
                <w:top w:val="none" w:sz="0" w:space="0" w:color="auto"/>
                <w:left w:val="none" w:sz="0" w:space="0" w:color="auto"/>
                <w:bottom w:val="none" w:sz="0" w:space="0" w:color="auto"/>
                <w:right w:val="none" w:sz="0" w:space="0" w:color="auto"/>
              </w:divBdr>
            </w:div>
          </w:divsChild>
        </w:div>
        <w:div w:id="1195122016">
          <w:marLeft w:val="0"/>
          <w:marRight w:val="0"/>
          <w:marTop w:val="0"/>
          <w:marBottom w:val="0"/>
          <w:divBdr>
            <w:top w:val="none" w:sz="0" w:space="0" w:color="auto"/>
            <w:left w:val="none" w:sz="0" w:space="0" w:color="auto"/>
            <w:bottom w:val="none" w:sz="0" w:space="0" w:color="auto"/>
            <w:right w:val="none" w:sz="0" w:space="0" w:color="auto"/>
          </w:divBdr>
          <w:divsChild>
            <w:div w:id="1003624134">
              <w:marLeft w:val="0"/>
              <w:marRight w:val="0"/>
              <w:marTop w:val="0"/>
              <w:marBottom w:val="0"/>
              <w:divBdr>
                <w:top w:val="none" w:sz="0" w:space="0" w:color="auto"/>
                <w:left w:val="none" w:sz="0" w:space="0" w:color="auto"/>
                <w:bottom w:val="none" w:sz="0" w:space="0" w:color="auto"/>
                <w:right w:val="none" w:sz="0" w:space="0" w:color="auto"/>
              </w:divBdr>
            </w:div>
          </w:divsChild>
        </w:div>
        <w:div w:id="1861353848">
          <w:marLeft w:val="0"/>
          <w:marRight w:val="0"/>
          <w:marTop w:val="0"/>
          <w:marBottom w:val="0"/>
          <w:divBdr>
            <w:top w:val="none" w:sz="0" w:space="0" w:color="auto"/>
            <w:left w:val="none" w:sz="0" w:space="0" w:color="auto"/>
            <w:bottom w:val="none" w:sz="0" w:space="0" w:color="auto"/>
            <w:right w:val="none" w:sz="0" w:space="0" w:color="auto"/>
          </w:divBdr>
          <w:divsChild>
            <w:div w:id="2102985491">
              <w:marLeft w:val="0"/>
              <w:marRight w:val="0"/>
              <w:marTop w:val="0"/>
              <w:marBottom w:val="0"/>
              <w:divBdr>
                <w:top w:val="none" w:sz="0" w:space="0" w:color="auto"/>
                <w:left w:val="none" w:sz="0" w:space="0" w:color="auto"/>
                <w:bottom w:val="none" w:sz="0" w:space="0" w:color="auto"/>
                <w:right w:val="none" w:sz="0" w:space="0" w:color="auto"/>
              </w:divBdr>
            </w:div>
            <w:div w:id="87965737">
              <w:marLeft w:val="0"/>
              <w:marRight w:val="0"/>
              <w:marTop w:val="0"/>
              <w:marBottom w:val="0"/>
              <w:divBdr>
                <w:top w:val="none" w:sz="0" w:space="0" w:color="auto"/>
                <w:left w:val="none" w:sz="0" w:space="0" w:color="auto"/>
                <w:bottom w:val="none" w:sz="0" w:space="0" w:color="auto"/>
                <w:right w:val="none" w:sz="0" w:space="0" w:color="auto"/>
              </w:divBdr>
              <w:divsChild>
                <w:div w:id="608781093">
                  <w:marLeft w:val="0"/>
                  <w:marRight w:val="0"/>
                  <w:marTop w:val="0"/>
                  <w:marBottom w:val="0"/>
                  <w:divBdr>
                    <w:top w:val="none" w:sz="0" w:space="0" w:color="auto"/>
                    <w:left w:val="none" w:sz="0" w:space="0" w:color="auto"/>
                    <w:bottom w:val="none" w:sz="0" w:space="0" w:color="auto"/>
                    <w:right w:val="none" w:sz="0" w:space="0" w:color="auto"/>
                  </w:divBdr>
                  <w:divsChild>
                    <w:div w:id="6032668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920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075614">
          <w:marLeft w:val="0"/>
          <w:marRight w:val="0"/>
          <w:marTop w:val="0"/>
          <w:marBottom w:val="0"/>
          <w:divBdr>
            <w:top w:val="none" w:sz="0" w:space="0" w:color="auto"/>
            <w:left w:val="none" w:sz="0" w:space="0" w:color="auto"/>
            <w:bottom w:val="none" w:sz="0" w:space="0" w:color="auto"/>
            <w:right w:val="none" w:sz="0" w:space="0" w:color="auto"/>
          </w:divBdr>
          <w:divsChild>
            <w:div w:id="1709911369">
              <w:marLeft w:val="0"/>
              <w:marRight w:val="0"/>
              <w:marTop w:val="0"/>
              <w:marBottom w:val="0"/>
              <w:divBdr>
                <w:top w:val="none" w:sz="0" w:space="0" w:color="auto"/>
                <w:left w:val="none" w:sz="0" w:space="0" w:color="auto"/>
                <w:bottom w:val="none" w:sz="0" w:space="0" w:color="auto"/>
                <w:right w:val="none" w:sz="0" w:space="0" w:color="auto"/>
              </w:divBdr>
            </w:div>
          </w:divsChild>
        </w:div>
        <w:div w:id="1757169993">
          <w:marLeft w:val="0"/>
          <w:marRight w:val="0"/>
          <w:marTop w:val="0"/>
          <w:marBottom w:val="0"/>
          <w:divBdr>
            <w:top w:val="none" w:sz="0" w:space="0" w:color="auto"/>
            <w:left w:val="none" w:sz="0" w:space="0" w:color="auto"/>
            <w:bottom w:val="none" w:sz="0" w:space="0" w:color="auto"/>
            <w:right w:val="none" w:sz="0" w:space="0" w:color="auto"/>
          </w:divBdr>
          <w:divsChild>
            <w:div w:id="106033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200463">
      <w:bodyDiv w:val="1"/>
      <w:marLeft w:val="0"/>
      <w:marRight w:val="0"/>
      <w:marTop w:val="0"/>
      <w:marBottom w:val="0"/>
      <w:divBdr>
        <w:top w:val="none" w:sz="0" w:space="0" w:color="auto"/>
        <w:left w:val="none" w:sz="0" w:space="0" w:color="auto"/>
        <w:bottom w:val="none" w:sz="0" w:space="0" w:color="auto"/>
        <w:right w:val="none" w:sz="0" w:space="0" w:color="auto"/>
      </w:divBdr>
      <w:divsChild>
        <w:div w:id="1685011548">
          <w:marLeft w:val="0"/>
          <w:marRight w:val="0"/>
          <w:marTop w:val="0"/>
          <w:marBottom w:val="0"/>
          <w:divBdr>
            <w:top w:val="none" w:sz="0" w:space="0" w:color="auto"/>
            <w:left w:val="none" w:sz="0" w:space="0" w:color="auto"/>
            <w:bottom w:val="none" w:sz="0" w:space="0" w:color="auto"/>
            <w:right w:val="none" w:sz="0" w:space="0" w:color="auto"/>
          </w:divBdr>
          <w:divsChild>
            <w:div w:id="115618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568047">
      <w:bodyDiv w:val="1"/>
      <w:marLeft w:val="0"/>
      <w:marRight w:val="0"/>
      <w:marTop w:val="0"/>
      <w:marBottom w:val="0"/>
      <w:divBdr>
        <w:top w:val="none" w:sz="0" w:space="0" w:color="auto"/>
        <w:left w:val="none" w:sz="0" w:space="0" w:color="auto"/>
        <w:bottom w:val="none" w:sz="0" w:space="0" w:color="auto"/>
        <w:right w:val="none" w:sz="0" w:space="0" w:color="auto"/>
      </w:divBdr>
      <w:divsChild>
        <w:div w:id="1838182215">
          <w:marLeft w:val="0"/>
          <w:marRight w:val="0"/>
          <w:marTop w:val="0"/>
          <w:marBottom w:val="0"/>
          <w:divBdr>
            <w:top w:val="none" w:sz="0" w:space="0" w:color="auto"/>
            <w:left w:val="none" w:sz="0" w:space="0" w:color="auto"/>
            <w:bottom w:val="none" w:sz="0" w:space="0" w:color="auto"/>
            <w:right w:val="none" w:sz="0" w:space="0" w:color="auto"/>
          </w:divBdr>
          <w:divsChild>
            <w:div w:id="43537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233929">
      <w:bodyDiv w:val="1"/>
      <w:marLeft w:val="0"/>
      <w:marRight w:val="0"/>
      <w:marTop w:val="0"/>
      <w:marBottom w:val="0"/>
      <w:divBdr>
        <w:top w:val="none" w:sz="0" w:space="0" w:color="auto"/>
        <w:left w:val="none" w:sz="0" w:space="0" w:color="auto"/>
        <w:bottom w:val="none" w:sz="0" w:space="0" w:color="auto"/>
        <w:right w:val="none" w:sz="0" w:space="0" w:color="auto"/>
      </w:divBdr>
      <w:divsChild>
        <w:div w:id="1639142760">
          <w:marLeft w:val="0"/>
          <w:marRight w:val="0"/>
          <w:marTop w:val="0"/>
          <w:marBottom w:val="0"/>
          <w:divBdr>
            <w:top w:val="none" w:sz="0" w:space="0" w:color="auto"/>
            <w:left w:val="none" w:sz="0" w:space="0" w:color="auto"/>
            <w:bottom w:val="none" w:sz="0" w:space="0" w:color="auto"/>
            <w:right w:val="none" w:sz="0" w:space="0" w:color="auto"/>
          </w:divBdr>
          <w:divsChild>
            <w:div w:id="120252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466439">
      <w:bodyDiv w:val="1"/>
      <w:marLeft w:val="0"/>
      <w:marRight w:val="0"/>
      <w:marTop w:val="0"/>
      <w:marBottom w:val="0"/>
      <w:divBdr>
        <w:top w:val="none" w:sz="0" w:space="0" w:color="auto"/>
        <w:left w:val="none" w:sz="0" w:space="0" w:color="auto"/>
        <w:bottom w:val="none" w:sz="0" w:space="0" w:color="auto"/>
        <w:right w:val="none" w:sz="0" w:space="0" w:color="auto"/>
      </w:divBdr>
      <w:divsChild>
        <w:div w:id="728840099">
          <w:marLeft w:val="0"/>
          <w:marRight w:val="0"/>
          <w:marTop w:val="0"/>
          <w:marBottom w:val="0"/>
          <w:divBdr>
            <w:top w:val="none" w:sz="0" w:space="0" w:color="auto"/>
            <w:left w:val="none" w:sz="0" w:space="0" w:color="auto"/>
            <w:bottom w:val="none" w:sz="0" w:space="0" w:color="auto"/>
            <w:right w:val="none" w:sz="0" w:space="0" w:color="auto"/>
          </w:divBdr>
        </w:div>
        <w:div w:id="1871146750">
          <w:marLeft w:val="0"/>
          <w:marRight w:val="0"/>
          <w:marTop w:val="0"/>
          <w:marBottom w:val="0"/>
          <w:divBdr>
            <w:top w:val="none" w:sz="0" w:space="0" w:color="auto"/>
            <w:left w:val="none" w:sz="0" w:space="0" w:color="auto"/>
            <w:bottom w:val="none" w:sz="0" w:space="0" w:color="auto"/>
            <w:right w:val="none" w:sz="0" w:space="0" w:color="auto"/>
          </w:divBdr>
        </w:div>
      </w:divsChild>
    </w:div>
    <w:div w:id="825048727">
      <w:bodyDiv w:val="1"/>
      <w:marLeft w:val="0"/>
      <w:marRight w:val="0"/>
      <w:marTop w:val="0"/>
      <w:marBottom w:val="0"/>
      <w:divBdr>
        <w:top w:val="none" w:sz="0" w:space="0" w:color="auto"/>
        <w:left w:val="none" w:sz="0" w:space="0" w:color="auto"/>
        <w:bottom w:val="none" w:sz="0" w:space="0" w:color="auto"/>
        <w:right w:val="none" w:sz="0" w:space="0" w:color="auto"/>
      </w:divBdr>
      <w:divsChild>
        <w:div w:id="1847093591">
          <w:marLeft w:val="0"/>
          <w:marRight w:val="0"/>
          <w:marTop w:val="0"/>
          <w:marBottom w:val="0"/>
          <w:divBdr>
            <w:top w:val="none" w:sz="0" w:space="0" w:color="auto"/>
            <w:left w:val="none" w:sz="0" w:space="0" w:color="auto"/>
            <w:bottom w:val="none" w:sz="0" w:space="0" w:color="auto"/>
            <w:right w:val="none" w:sz="0" w:space="0" w:color="auto"/>
          </w:divBdr>
          <w:divsChild>
            <w:div w:id="1846744701">
              <w:marLeft w:val="0"/>
              <w:marRight w:val="0"/>
              <w:marTop w:val="0"/>
              <w:marBottom w:val="0"/>
              <w:divBdr>
                <w:top w:val="none" w:sz="0" w:space="0" w:color="auto"/>
                <w:left w:val="none" w:sz="0" w:space="0" w:color="auto"/>
                <w:bottom w:val="none" w:sz="0" w:space="0" w:color="auto"/>
                <w:right w:val="none" w:sz="0" w:space="0" w:color="auto"/>
              </w:divBdr>
            </w:div>
            <w:div w:id="570699482">
              <w:marLeft w:val="0"/>
              <w:marRight w:val="0"/>
              <w:marTop w:val="0"/>
              <w:marBottom w:val="0"/>
              <w:divBdr>
                <w:top w:val="none" w:sz="0" w:space="0" w:color="auto"/>
                <w:left w:val="none" w:sz="0" w:space="0" w:color="auto"/>
                <w:bottom w:val="none" w:sz="0" w:space="0" w:color="auto"/>
                <w:right w:val="none" w:sz="0" w:space="0" w:color="auto"/>
              </w:divBdr>
              <w:divsChild>
                <w:div w:id="1615943310">
                  <w:marLeft w:val="0"/>
                  <w:marRight w:val="0"/>
                  <w:marTop w:val="0"/>
                  <w:marBottom w:val="0"/>
                  <w:divBdr>
                    <w:top w:val="none" w:sz="0" w:space="0" w:color="auto"/>
                    <w:left w:val="none" w:sz="0" w:space="0" w:color="auto"/>
                    <w:bottom w:val="none" w:sz="0" w:space="0" w:color="auto"/>
                    <w:right w:val="none" w:sz="0" w:space="0" w:color="auto"/>
                  </w:divBdr>
                  <w:divsChild>
                    <w:div w:id="12993823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209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473017">
          <w:marLeft w:val="0"/>
          <w:marRight w:val="0"/>
          <w:marTop w:val="0"/>
          <w:marBottom w:val="0"/>
          <w:divBdr>
            <w:top w:val="none" w:sz="0" w:space="0" w:color="auto"/>
            <w:left w:val="none" w:sz="0" w:space="0" w:color="auto"/>
            <w:bottom w:val="none" w:sz="0" w:space="0" w:color="auto"/>
            <w:right w:val="none" w:sz="0" w:space="0" w:color="auto"/>
          </w:divBdr>
          <w:divsChild>
            <w:div w:id="1579243579">
              <w:marLeft w:val="0"/>
              <w:marRight w:val="0"/>
              <w:marTop w:val="0"/>
              <w:marBottom w:val="0"/>
              <w:divBdr>
                <w:top w:val="none" w:sz="0" w:space="0" w:color="auto"/>
                <w:left w:val="none" w:sz="0" w:space="0" w:color="auto"/>
                <w:bottom w:val="none" w:sz="0" w:space="0" w:color="auto"/>
                <w:right w:val="none" w:sz="0" w:space="0" w:color="auto"/>
              </w:divBdr>
            </w:div>
            <w:div w:id="87510652">
              <w:marLeft w:val="0"/>
              <w:marRight w:val="0"/>
              <w:marTop w:val="0"/>
              <w:marBottom w:val="0"/>
              <w:divBdr>
                <w:top w:val="none" w:sz="0" w:space="0" w:color="auto"/>
                <w:left w:val="none" w:sz="0" w:space="0" w:color="auto"/>
                <w:bottom w:val="none" w:sz="0" w:space="0" w:color="auto"/>
                <w:right w:val="none" w:sz="0" w:space="0" w:color="auto"/>
              </w:divBdr>
              <w:divsChild>
                <w:div w:id="1785266453">
                  <w:marLeft w:val="0"/>
                  <w:marRight w:val="0"/>
                  <w:marTop w:val="0"/>
                  <w:marBottom w:val="0"/>
                  <w:divBdr>
                    <w:top w:val="none" w:sz="0" w:space="0" w:color="auto"/>
                    <w:left w:val="none" w:sz="0" w:space="0" w:color="auto"/>
                    <w:bottom w:val="none" w:sz="0" w:space="0" w:color="auto"/>
                    <w:right w:val="none" w:sz="0" w:space="0" w:color="auto"/>
                  </w:divBdr>
                </w:div>
              </w:divsChild>
            </w:div>
            <w:div w:id="357317914">
              <w:marLeft w:val="0"/>
              <w:marRight w:val="0"/>
              <w:marTop w:val="0"/>
              <w:marBottom w:val="0"/>
              <w:divBdr>
                <w:top w:val="none" w:sz="0" w:space="0" w:color="auto"/>
                <w:left w:val="none" w:sz="0" w:space="0" w:color="auto"/>
                <w:bottom w:val="none" w:sz="0" w:space="0" w:color="auto"/>
                <w:right w:val="none" w:sz="0" w:space="0" w:color="auto"/>
              </w:divBdr>
              <w:divsChild>
                <w:div w:id="34776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17018">
          <w:marLeft w:val="0"/>
          <w:marRight w:val="0"/>
          <w:marTop w:val="0"/>
          <w:marBottom w:val="0"/>
          <w:divBdr>
            <w:top w:val="none" w:sz="0" w:space="0" w:color="auto"/>
            <w:left w:val="none" w:sz="0" w:space="0" w:color="auto"/>
            <w:bottom w:val="none" w:sz="0" w:space="0" w:color="auto"/>
            <w:right w:val="none" w:sz="0" w:space="0" w:color="auto"/>
          </w:divBdr>
          <w:divsChild>
            <w:div w:id="9791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266993">
      <w:bodyDiv w:val="1"/>
      <w:marLeft w:val="0"/>
      <w:marRight w:val="0"/>
      <w:marTop w:val="0"/>
      <w:marBottom w:val="0"/>
      <w:divBdr>
        <w:top w:val="none" w:sz="0" w:space="0" w:color="auto"/>
        <w:left w:val="none" w:sz="0" w:space="0" w:color="auto"/>
        <w:bottom w:val="none" w:sz="0" w:space="0" w:color="auto"/>
        <w:right w:val="none" w:sz="0" w:space="0" w:color="auto"/>
      </w:divBdr>
      <w:divsChild>
        <w:div w:id="1208761450">
          <w:marLeft w:val="0"/>
          <w:marRight w:val="0"/>
          <w:marTop w:val="0"/>
          <w:marBottom w:val="0"/>
          <w:divBdr>
            <w:top w:val="none" w:sz="0" w:space="0" w:color="auto"/>
            <w:left w:val="none" w:sz="0" w:space="0" w:color="auto"/>
            <w:bottom w:val="none" w:sz="0" w:space="0" w:color="auto"/>
            <w:right w:val="none" w:sz="0" w:space="0" w:color="auto"/>
          </w:divBdr>
          <w:divsChild>
            <w:div w:id="101392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399570">
      <w:bodyDiv w:val="1"/>
      <w:marLeft w:val="0"/>
      <w:marRight w:val="0"/>
      <w:marTop w:val="0"/>
      <w:marBottom w:val="0"/>
      <w:divBdr>
        <w:top w:val="none" w:sz="0" w:space="0" w:color="auto"/>
        <w:left w:val="none" w:sz="0" w:space="0" w:color="auto"/>
        <w:bottom w:val="none" w:sz="0" w:space="0" w:color="auto"/>
        <w:right w:val="none" w:sz="0" w:space="0" w:color="auto"/>
      </w:divBdr>
      <w:divsChild>
        <w:div w:id="387346064">
          <w:marLeft w:val="0"/>
          <w:marRight w:val="0"/>
          <w:marTop w:val="0"/>
          <w:marBottom w:val="0"/>
          <w:divBdr>
            <w:top w:val="none" w:sz="0" w:space="0" w:color="auto"/>
            <w:left w:val="none" w:sz="0" w:space="0" w:color="auto"/>
            <w:bottom w:val="none" w:sz="0" w:space="0" w:color="auto"/>
            <w:right w:val="none" w:sz="0" w:space="0" w:color="auto"/>
          </w:divBdr>
          <w:divsChild>
            <w:div w:id="68139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131720">
      <w:bodyDiv w:val="1"/>
      <w:marLeft w:val="0"/>
      <w:marRight w:val="0"/>
      <w:marTop w:val="0"/>
      <w:marBottom w:val="0"/>
      <w:divBdr>
        <w:top w:val="none" w:sz="0" w:space="0" w:color="auto"/>
        <w:left w:val="none" w:sz="0" w:space="0" w:color="auto"/>
        <w:bottom w:val="none" w:sz="0" w:space="0" w:color="auto"/>
        <w:right w:val="none" w:sz="0" w:space="0" w:color="auto"/>
      </w:divBdr>
      <w:divsChild>
        <w:div w:id="182868405">
          <w:marLeft w:val="0"/>
          <w:marRight w:val="0"/>
          <w:marTop w:val="0"/>
          <w:marBottom w:val="0"/>
          <w:divBdr>
            <w:top w:val="none" w:sz="0" w:space="0" w:color="auto"/>
            <w:left w:val="none" w:sz="0" w:space="0" w:color="auto"/>
            <w:bottom w:val="none" w:sz="0" w:space="0" w:color="auto"/>
            <w:right w:val="none" w:sz="0" w:space="0" w:color="auto"/>
          </w:divBdr>
          <w:divsChild>
            <w:div w:id="773288575">
              <w:marLeft w:val="0"/>
              <w:marRight w:val="0"/>
              <w:marTop w:val="0"/>
              <w:marBottom w:val="0"/>
              <w:divBdr>
                <w:top w:val="none" w:sz="0" w:space="0" w:color="auto"/>
                <w:left w:val="none" w:sz="0" w:space="0" w:color="auto"/>
                <w:bottom w:val="none" w:sz="0" w:space="0" w:color="auto"/>
                <w:right w:val="none" w:sz="0" w:space="0" w:color="auto"/>
              </w:divBdr>
            </w:div>
          </w:divsChild>
        </w:div>
        <w:div w:id="561410319">
          <w:marLeft w:val="0"/>
          <w:marRight w:val="0"/>
          <w:marTop w:val="0"/>
          <w:marBottom w:val="0"/>
          <w:divBdr>
            <w:top w:val="none" w:sz="0" w:space="0" w:color="auto"/>
            <w:left w:val="none" w:sz="0" w:space="0" w:color="auto"/>
            <w:bottom w:val="none" w:sz="0" w:space="0" w:color="auto"/>
            <w:right w:val="none" w:sz="0" w:space="0" w:color="auto"/>
          </w:divBdr>
          <w:divsChild>
            <w:div w:id="668752840">
              <w:marLeft w:val="0"/>
              <w:marRight w:val="0"/>
              <w:marTop w:val="0"/>
              <w:marBottom w:val="0"/>
              <w:divBdr>
                <w:top w:val="none" w:sz="0" w:space="0" w:color="auto"/>
                <w:left w:val="none" w:sz="0" w:space="0" w:color="auto"/>
                <w:bottom w:val="none" w:sz="0" w:space="0" w:color="auto"/>
                <w:right w:val="none" w:sz="0" w:space="0" w:color="auto"/>
              </w:divBdr>
            </w:div>
          </w:divsChild>
        </w:div>
        <w:div w:id="430976173">
          <w:marLeft w:val="0"/>
          <w:marRight w:val="0"/>
          <w:marTop w:val="0"/>
          <w:marBottom w:val="0"/>
          <w:divBdr>
            <w:top w:val="none" w:sz="0" w:space="0" w:color="auto"/>
            <w:left w:val="none" w:sz="0" w:space="0" w:color="auto"/>
            <w:bottom w:val="none" w:sz="0" w:space="0" w:color="auto"/>
            <w:right w:val="none" w:sz="0" w:space="0" w:color="auto"/>
          </w:divBdr>
          <w:divsChild>
            <w:div w:id="2015953207">
              <w:marLeft w:val="0"/>
              <w:marRight w:val="0"/>
              <w:marTop w:val="0"/>
              <w:marBottom w:val="0"/>
              <w:divBdr>
                <w:top w:val="none" w:sz="0" w:space="0" w:color="auto"/>
                <w:left w:val="none" w:sz="0" w:space="0" w:color="auto"/>
                <w:bottom w:val="none" w:sz="0" w:space="0" w:color="auto"/>
                <w:right w:val="none" w:sz="0" w:space="0" w:color="auto"/>
              </w:divBdr>
            </w:div>
          </w:divsChild>
        </w:div>
        <w:div w:id="1209806230">
          <w:marLeft w:val="0"/>
          <w:marRight w:val="0"/>
          <w:marTop w:val="0"/>
          <w:marBottom w:val="0"/>
          <w:divBdr>
            <w:top w:val="none" w:sz="0" w:space="0" w:color="auto"/>
            <w:left w:val="none" w:sz="0" w:space="0" w:color="auto"/>
            <w:bottom w:val="none" w:sz="0" w:space="0" w:color="auto"/>
            <w:right w:val="none" w:sz="0" w:space="0" w:color="auto"/>
          </w:divBdr>
          <w:divsChild>
            <w:div w:id="1983851178">
              <w:marLeft w:val="0"/>
              <w:marRight w:val="0"/>
              <w:marTop w:val="0"/>
              <w:marBottom w:val="0"/>
              <w:divBdr>
                <w:top w:val="none" w:sz="0" w:space="0" w:color="auto"/>
                <w:left w:val="none" w:sz="0" w:space="0" w:color="auto"/>
                <w:bottom w:val="none" w:sz="0" w:space="0" w:color="auto"/>
                <w:right w:val="none" w:sz="0" w:space="0" w:color="auto"/>
              </w:divBdr>
            </w:div>
          </w:divsChild>
        </w:div>
        <w:div w:id="698942163">
          <w:marLeft w:val="0"/>
          <w:marRight w:val="0"/>
          <w:marTop w:val="0"/>
          <w:marBottom w:val="0"/>
          <w:divBdr>
            <w:top w:val="none" w:sz="0" w:space="0" w:color="auto"/>
            <w:left w:val="none" w:sz="0" w:space="0" w:color="auto"/>
            <w:bottom w:val="none" w:sz="0" w:space="0" w:color="auto"/>
            <w:right w:val="none" w:sz="0" w:space="0" w:color="auto"/>
          </w:divBdr>
          <w:divsChild>
            <w:div w:id="2013757397">
              <w:marLeft w:val="0"/>
              <w:marRight w:val="0"/>
              <w:marTop w:val="0"/>
              <w:marBottom w:val="0"/>
              <w:divBdr>
                <w:top w:val="none" w:sz="0" w:space="0" w:color="auto"/>
                <w:left w:val="none" w:sz="0" w:space="0" w:color="auto"/>
                <w:bottom w:val="none" w:sz="0" w:space="0" w:color="auto"/>
                <w:right w:val="none" w:sz="0" w:space="0" w:color="auto"/>
              </w:divBdr>
            </w:div>
          </w:divsChild>
        </w:div>
        <w:div w:id="600842421">
          <w:marLeft w:val="0"/>
          <w:marRight w:val="0"/>
          <w:marTop w:val="0"/>
          <w:marBottom w:val="0"/>
          <w:divBdr>
            <w:top w:val="none" w:sz="0" w:space="0" w:color="auto"/>
            <w:left w:val="none" w:sz="0" w:space="0" w:color="auto"/>
            <w:bottom w:val="none" w:sz="0" w:space="0" w:color="auto"/>
            <w:right w:val="none" w:sz="0" w:space="0" w:color="auto"/>
          </w:divBdr>
          <w:divsChild>
            <w:div w:id="1392733736">
              <w:marLeft w:val="0"/>
              <w:marRight w:val="0"/>
              <w:marTop w:val="0"/>
              <w:marBottom w:val="0"/>
              <w:divBdr>
                <w:top w:val="none" w:sz="0" w:space="0" w:color="auto"/>
                <w:left w:val="none" w:sz="0" w:space="0" w:color="auto"/>
                <w:bottom w:val="none" w:sz="0" w:space="0" w:color="auto"/>
                <w:right w:val="none" w:sz="0" w:space="0" w:color="auto"/>
              </w:divBdr>
            </w:div>
          </w:divsChild>
        </w:div>
        <w:div w:id="54741491">
          <w:marLeft w:val="0"/>
          <w:marRight w:val="0"/>
          <w:marTop w:val="0"/>
          <w:marBottom w:val="0"/>
          <w:divBdr>
            <w:top w:val="none" w:sz="0" w:space="0" w:color="auto"/>
            <w:left w:val="none" w:sz="0" w:space="0" w:color="auto"/>
            <w:bottom w:val="none" w:sz="0" w:space="0" w:color="auto"/>
            <w:right w:val="none" w:sz="0" w:space="0" w:color="auto"/>
          </w:divBdr>
          <w:divsChild>
            <w:div w:id="1590625093">
              <w:marLeft w:val="0"/>
              <w:marRight w:val="0"/>
              <w:marTop w:val="0"/>
              <w:marBottom w:val="0"/>
              <w:divBdr>
                <w:top w:val="none" w:sz="0" w:space="0" w:color="auto"/>
                <w:left w:val="none" w:sz="0" w:space="0" w:color="auto"/>
                <w:bottom w:val="none" w:sz="0" w:space="0" w:color="auto"/>
                <w:right w:val="none" w:sz="0" w:space="0" w:color="auto"/>
              </w:divBdr>
            </w:div>
          </w:divsChild>
        </w:div>
        <w:div w:id="1760760511">
          <w:marLeft w:val="0"/>
          <w:marRight w:val="0"/>
          <w:marTop w:val="0"/>
          <w:marBottom w:val="0"/>
          <w:divBdr>
            <w:top w:val="none" w:sz="0" w:space="0" w:color="auto"/>
            <w:left w:val="none" w:sz="0" w:space="0" w:color="auto"/>
            <w:bottom w:val="none" w:sz="0" w:space="0" w:color="auto"/>
            <w:right w:val="none" w:sz="0" w:space="0" w:color="auto"/>
          </w:divBdr>
          <w:divsChild>
            <w:div w:id="2664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908924">
      <w:bodyDiv w:val="1"/>
      <w:marLeft w:val="0"/>
      <w:marRight w:val="0"/>
      <w:marTop w:val="0"/>
      <w:marBottom w:val="0"/>
      <w:divBdr>
        <w:top w:val="none" w:sz="0" w:space="0" w:color="auto"/>
        <w:left w:val="none" w:sz="0" w:space="0" w:color="auto"/>
        <w:bottom w:val="none" w:sz="0" w:space="0" w:color="auto"/>
        <w:right w:val="none" w:sz="0" w:space="0" w:color="auto"/>
      </w:divBdr>
      <w:divsChild>
        <w:div w:id="107505633">
          <w:marLeft w:val="0"/>
          <w:marRight w:val="0"/>
          <w:marTop w:val="0"/>
          <w:marBottom w:val="0"/>
          <w:divBdr>
            <w:top w:val="none" w:sz="0" w:space="0" w:color="auto"/>
            <w:left w:val="none" w:sz="0" w:space="0" w:color="auto"/>
            <w:bottom w:val="none" w:sz="0" w:space="0" w:color="auto"/>
            <w:right w:val="none" w:sz="0" w:space="0" w:color="auto"/>
          </w:divBdr>
          <w:divsChild>
            <w:div w:id="666519690">
              <w:marLeft w:val="0"/>
              <w:marRight w:val="0"/>
              <w:marTop w:val="0"/>
              <w:marBottom w:val="0"/>
              <w:divBdr>
                <w:top w:val="none" w:sz="0" w:space="0" w:color="auto"/>
                <w:left w:val="none" w:sz="0" w:space="0" w:color="auto"/>
                <w:bottom w:val="none" w:sz="0" w:space="0" w:color="auto"/>
                <w:right w:val="none" w:sz="0" w:space="0" w:color="auto"/>
              </w:divBdr>
            </w:div>
          </w:divsChild>
        </w:div>
        <w:div w:id="1586643187">
          <w:marLeft w:val="0"/>
          <w:marRight w:val="0"/>
          <w:marTop w:val="0"/>
          <w:marBottom w:val="0"/>
          <w:divBdr>
            <w:top w:val="none" w:sz="0" w:space="0" w:color="auto"/>
            <w:left w:val="none" w:sz="0" w:space="0" w:color="auto"/>
            <w:bottom w:val="none" w:sz="0" w:space="0" w:color="auto"/>
            <w:right w:val="none" w:sz="0" w:space="0" w:color="auto"/>
          </w:divBdr>
          <w:divsChild>
            <w:div w:id="151815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83451">
      <w:bodyDiv w:val="1"/>
      <w:marLeft w:val="0"/>
      <w:marRight w:val="0"/>
      <w:marTop w:val="0"/>
      <w:marBottom w:val="0"/>
      <w:divBdr>
        <w:top w:val="none" w:sz="0" w:space="0" w:color="auto"/>
        <w:left w:val="none" w:sz="0" w:space="0" w:color="auto"/>
        <w:bottom w:val="none" w:sz="0" w:space="0" w:color="auto"/>
        <w:right w:val="none" w:sz="0" w:space="0" w:color="auto"/>
      </w:divBdr>
      <w:divsChild>
        <w:div w:id="1527866644">
          <w:marLeft w:val="0"/>
          <w:marRight w:val="0"/>
          <w:marTop w:val="0"/>
          <w:marBottom w:val="0"/>
          <w:divBdr>
            <w:top w:val="none" w:sz="0" w:space="0" w:color="auto"/>
            <w:left w:val="none" w:sz="0" w:space="0" w:color="auto"/>
            <w:bottom w:val="none" w:sz="0" w:space="0" w:color="auto"/>
            <w:right w:val="none" w:sz="0" w:space="0" w:color="auto"/>
          </w:divBdr>
        </w:div>
        <w:div w:id="1797526204">
          <w:marLeft w:val="0"/>
          <w:marRight w:val="0"/>
          <w:marTop w:val="0"/>
          <w:marBottom w:val="0"/>
          <w:divBdr>
            <w:top w:val="none" w:sz="0" w:space="0" w:color="auto"/>
            <w:left w:val="none" w:sz="0" w:space="0" w:color="auto"/>
            <w:bottom w:val="none" w:sz="0" w:space="0" w:color="auto"/>
            <w:right w:val="none" w:sz="0" w:space="0" w:color="auto"/>
          </w:divBdr>
          <w:divsChild>
            <w:div w:id="1407651954">
              <w:marLeft w:val="0"/>
              <w:marRight w:val="0"/>
              <w:marTop w:val="0"/>
              <w:marBottom w:val="0"/>
              <w:divBdr>
                <w:top w:val="none" w:sz="0" w:space="0" w:color="auto"/>
                <w:left w:val="none" w:sz="0" w:space="0" w:color="auto"/>
                <w:bottom w:val="none" w:sz="0" w:space="0" w:color="auto"/>
                <w:right w:val="none" w:sz="0" w:space="0" w:color="auto"/>
              </w:divBdr>
            </w:div>
          </w:divsChild>
        </w:div>
        <w:div w:id="188876089">
          <w:marLeft w:val="0"/>
          <w:marRight w:val="0"/>
          <w:marTop w:val="0"/>
          <w:marBottom w:val="0"/>
          <w:divBdr>
            <w:top w:val="none" w:sz="0" w:space="0" w:color="auto"/>
            <w:left w:val="none" w:sz="0" w:space="0" w:color="auto"/>
            <w:bottom w:val="none" w:sz="0" w:space="0" w:color="auto"/>
            <w:right w:val="none" w:sz="0" w:space="0" w:color="auto"/>
          </w:divBdr>
          <w:divsChild>
            <w:div w:id="1364407850">
              <w:marLeft w:val="0"/>
              <w:marRight w:val="0"/>
              <w:marTop w:val="0"/>
              <w:marBottom w:val="0"/>
              <w:divBdr>
                <w:top w:val="none" w:sz="0" w:space="0" w:color="auto"/>
                <w:left w:val="none" w:sz="0" w:space="0" w:color="auto"/>
                <w:bottom w:val="none" w:sz="0" w:space="0" w:color="auto"/>
                <w:right w:val="none" w:sz="0" w:space="0" w:color="auto"/>
              </w:divBdr>
            </w:div>
          </w:divsChild>
        </w:div>
        <w:div w:id="1646427595">
          <w:marLeft w:val="0"/>
          <w:marRight w:val="0"/>
          <w:marTop w:val="0"/>
          <w:marBottom w:val="0"/>
          <w:divBdr>
            <w:top w:val="none" w:sz="0" w:space="0" w:color="auto"/>
            <w:left w:val="none" w:sz="0" w:space="0" w:color="auto"/>
            <w:bottom w:val="none" w:sz="0" w:space="0" w:color="auto"/>
            <w:right w:val="none" w:sz="0" w:space="0" w:color="auto"/>
          </w:divBdr>
          <w:divsChild>
            <w:div w:id="1666399939">
              <w:marLeft w:val="0"/>
              <w:marRight w:val="0"/>
              <w:marTop w:val="0"/>
              <w:marBottom w:val="0"/>
              <w:divBdr>
                <w:top w:val="none" w:sz="0" w:space="0" w:color="auto"/>
                <w:left w:val="none" w:sz="0" w:space="0" w:color="auto"/>
                <w:bottom w:val="none" w:sz="0" w:space="0" w:color="auto"/>
                <w:right w:val="none" w:sz="0" w:space="0" w:color="auto"/>
              </w:divBdr>
            </w:div>
          </w:divsChild>
        </w:div>
        <w:div w:id="180751910">
          <w:marLeft w:val="0"/>
          <w:marRight w:val="0"/>
          <w:marTop w:val="0"/>
          <w:marBottom w:val="0"/>
          <w:divBdr>
            <w:top w:val="none" w:sz="0" w:space="0" w:color="auto"/>
            <w:left w:val="none" w:sz="0" w:space="0" w:color="auto"/>
            <w:bottom w:val="none" w:sz="0" w:space="0" w:color="auto"/>
            <w:right w:val="none" w:sz="0" w:space="0" w:color="auto"/>
          </w:divBdr>
          <w:divsChild>
            <w:div w:id="265888470">
              <w:marLeft w:val="0"/>
              <w:marRight w:val="0"/>
              <w:marTop w:val="0"/>
              <w:marBottom w:val="0"/>
              <w:divBdr>
                <w:top w:val="none" w:sz="0" w:space="0" w:color="auto"/>
                <w:left w:val="none" w:sz="0" w:space="0" w:color="auto"/>
                <w:bottom w:val="none" w:sz="0" w:space="0" w:color="auto"/>
                <w:right w:val="none" w:sz="0" w:space="0" w:color="auto"/>
              </w:divBdr>
            </w:div>
          </w:divsChild>
        </w:div>
        <w:div w:id="2115318949">
          <w:marLeft w:val="0"/>
          <w:marRight w:val="0"/>
          <w:marTop w:val="0"/>
          <w:marBottom w:val="0"/>
          <w:divBdr>
            <w:top w:val="none" w:sz="0" w:space="0" w:color="auto"/>
            <w:left w:val="none" w:sz="0" w:space="0" w:color="auto"/>
            <w:bottom w:val="none" w:sz="0" w:space="0" w:color="auto"/>
            <w:right w:val="none" w:sz="0" w:space="0" w:color="auto"/>
          </w:divBdr>
          <w:divsChild>
            <w:div w:id="1192842676">
              <w:marLeft w:val="0"/>
              <w:marRight w:val="0"/>
              <w:marTop w:val="0"/>
              <w:marBottom w:val="0"/>
              <w:divBdr>
                <w:top w:val="none" w:sz="0" w:space="0" w:color="auto"/>
                <w:left w:val="none" w:sz="0" w:space="0" w:color="auto"/>
                <w:bottom w:val="none" w:sz="0" w:space="0" w:color="auto"/>
                <w:right w:val="none" w:sz="0" w:space="0" w:color="auto"/>
              </w:divBdr>
            </w:div>
          </w:divsChild>
        </w:div>
        <w:div w:id="835652322">
          <w:marLeft w:val="0"/>
          <w:marRight w:val="0"/>
          <w:marTop w:val="0"/>
          <w:marBottom w:val="0"/>
          <w:divBdr>
            <w:top w:val="none" w:sz="0" w:space="0" w:color="auto"/>
            <w:left w:val="none" w:sz="0" w:space="0" w:color="auto"/>
            <w:bottom w:val="none" w:sz="0" w:space="0" w:color="auto"/>
            <w:right w:val="none" w:sz="0" w:space="0" w:color="auto"/>
          </w:divBdr>
          <w:divsChild>
            <w:div w:id="1128743054">
              <w:marLeft w:val="0"/>
              <w:marRight w:val="0"/>
              <w:marTop w:val="0"/>
              <w:marBottom w:val="0"/>
              <w:divBdr>
                <w:top w:val="none" w:sz="0" w:space="0" w:color="auto"/>
                <w:left w:val="none" w:sz="0" w:space="0" w:color="auto"/>
                <w:bottom w:val="none" w:sz="0" w:space="0" w:color="auto"/>
                <w:right w:val="none" w:sz="0" w:space="0" w:color="auto"/>
              </w:divBdr>
            </w:div>
          </w:divsChild>
        </w:div>
        <w:div w:id="1549418782">
          <w:marLeft w:val="0"/>
          <w:marRight w:val="0"/>
          <w:marTop w:val="0"/>
          <w:marBottom w:val="0"/>
          <w:divBdr>
            <w:top w:val="none" w:sz="0" w:space="0" w:color="auto"/>
            <w:left w:val="none" w:sz="0" w:space="0" w:color="auto"/>
            <w:bottom w:val="none" w:sz="0" w:space="0" w:color="auto"/>
            <w:right w:val="none" w:sz="0" w:space="0" w:color="auto"/>
          </w:divBdr>
          <w:divsChild>
            <w:div w:id="142701020">
              <w:marLeft w:val="0"/>
              <w:marRight w:val="0"/>
              <w:marTop w:val="0"/>
              <w:marBottom w:val="0"/>
              <w:divBdr>
                <w:top w:val="none" w:sz="0" w:space="0" w:color="auto"/>
                <w:left w:val="none" w:sz="0" w:space="0" w:color="auto"/>
                <w:bottom w:val="none" w:sz="0" w:space="0" w:color="auto"/>
                <w:right w:val="none" w:sz="0" w:space="0" w:color="auto"/>
              </w:divBdr>
            </w:div>
            <w:div w:id="1292974884">
              <w:marLeft w:val="0"/>
              <w:marRight w:val="0"/>
              <w:marTop w:val="0"/>
              <w:marBottom w:val="0"/>
              <w:divBdr>
                <w:top w:val="none" w:sz="0" w:space="0" w:color="auto"/>
                <w:left w:val="none" w:sz="0" w:space="0" w:color="auto"/>
                <w:bottom w:val="none" w:sz="0" w:space="0" w:color="auto"/>
                <w:right w:val="none" w:sz="0" w:space="0" w:color="auto"/>
              </w:divBdr>
              <w:divsChild>
                <w:div w:id="82187654">
                  <w:marLeft w:val="0"/>
                  <w:marRight w:val="0"/>
                  <w:marTop w:val="0"/>
                  <w:marBottom w:val="0"/>
                  <w:divBdr>
                    <w:top w:val="none" w:sz="0" w:space="0" w:color="auto"/>
                    <w:left w:val="none" w:sz="0" w:space="0" w:color="auto"/>
                    <w:bottom w:val="none" w:sz="0" w:space="0" w:color="auto"/>
                    <w:right w:val="none" w:sz="0" w:space="0" w:color="auto"/>
                  </w:divBdr>
                  <w:divsChild>
                    <w:div w:id="1740399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89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509320">
          <w:marLeft w:val="0"/>
          <w:marRight w:val="0"/>
          <w:marTop w:val="0"/>
          <w:marBottom w:val="0"/>
          <w:divBdr>
            <w:top w:val="none" w:sz="0" w:space="0" w:color="auto"/>
            <w:left w:val="none" w:sz="0" w:space="0" w:color="auto"/>
            <w:bottom w:val="none" w:sz="0" w:space="0" w:color="auto"/>
            <w:right w:val="none" w:sz="0" w:space="0" w:color="auto"/>
          </w:divBdr>
          <w:divsChild>
            <w:div w:id="655576459">
              <w:marLeft w:val="0"/>
              <w:marRight w:val="0"/>
              <w:marTop w:val="0"/>
              <w:marBottom w:val="0"/>
              <w:divBdr>
                <w:top w:val="none" w:sz="0" w:space="0" w:color="auto"/>
                <w:left w:val="none" w:sz="0" w:space="0" w:color="auto"/>
                <w:bottom w:val="none" w:sz="0" w:space="0" w:color="auto"/>
                <w:right w:val="none" w:sz="0" w:space="0" w:color="auto"/>
              </w:divBdr>
            </w:div>
          </w:divsChild>
        </w:div>
        <w:div w:id="548152793">
          <w:marLeft w:val="0"/>
          <w:marRight w:val="0"/>
          <w:marTop w:val="0"/>
          <w:marBottom w:val="0"/>
          <w:divBdr>
            <w:top w:val="none" w:sz="0" w:space="0" w:color="auto"/>
            <w:left w:val="none" w:sz="0" w:space="0" w:color="auto"/>
            <w:bottom w:val="none" w:sz="0" w:space="0" w:color="auto"/>
            <w:right w:val="none" w:sz="0" w:space="0" w:color="auto"/>
          </w:divBdr>
          <w:divsChild>
            <w:div w:id="515509959">
              <w:marLeft w:val="0"/>
              <w:marRight w:val="0"/>
              <w:marTop w:val="0"/>
              <w:marBottom w:val="0"/>
              <w:divBdr>
                <w:top w:val="none" w:sz="0" w:space="0" w:color="auto"/>
                <w:left w:val="none" w:sz="0" w:space="0" w:color="auto"/>
                <w:bottom w:val="none" w:sz="0" w:space="0" w:color="auto"/>
                <w:right w:val="none" w:sz="0" w:space="0" w:color="auto"/>
              </w:divBdr>
            </w:div>
            <w:div w:id="319963715">
              <w:marLeft w:val="0"/>
              <w:marRight w:val="0"/>
              <w:marTop w:val="0"/>
              <w:marBottom w:val="0"/>
              <w:divBdr>
                <w:top w:val="none" w:sz="0" w:space="0" w:color="auto"/>
                <w:left w:val="none" w:sz="0" w:space="0" w:color="auto"/>
                <w:bottom w:val="none" w:sz="0" w:space="0" w:color="auto"/>
                <w:right w:val="none" w:sz="0" w:space="0" w:color="auto"/>
              </w:divBdr>
              <w:divsChild>
                <w:div w:id="653215953">
                  <w:marLeft w:val="0"/>
                  <w:marRight w:val="0"/>
                  <w:marTop w:val="0"/>
                  <w:marBottom w:val="0"/>
                  <w:divBdr>
                    <w:top w:val="none" w:sz="0" w:space="0" w:color="auto"/>
                    <w:left w:val="none" w:sz="0" w:space="0" w:color="auto"/>
                    <w:bottom w:val="none" w:sz="0" w:space="0" w:color="auto"/>
                    <w:right w:val="none" w:sz="0" w:space="0" w:color="auto"/>
                  </w:divBdr>
                  <w:divsChild>
                    <w:div w:id="715391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93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312231">
          <w:marLeft w:val="0"/>
          <w:marRight w:val="0"/>
          <w:marTop w:val="0"/>
          <w:marBottom w:val="0"/>
          <w:divBdr>
            <w:top w:val="none" w:sz="0" w:space="0" w:color="auto"/>
            <w:left w:val="none" w:sz="0" w:space="0" w:color="auto"/>
            <w:bottom w:val="none" w:sz="0" w:space="0" w:color="auto"/>
            <w:right w:val="none" w:sz="0" w:space="0" w:color="auto"/>
          </w:divBdr>
          <w:divsChild>
            <w:div w:id="2014137403">
              <w:marLeft w:val="0"/>
              <w:marRight w:val="0"/>
              <w:marTop w:val="0"/>
              <w:marBottom w:val="0"/>
              <w:divBdr>
                <w:top w:val="none" w:sz="0" w:space="0" w:color="auto"/>
                <w:left w:val="none" w:sz="0" w:space="0" w:color="auto"/>
                <w:bottom w:val="none" w:sz="0" w:space="0" w:color="auto"/>
                <w:right w:val="none" w:sz="0" w:space="0" w:color="auto"/>
              </w:divBdr>
            </w:div>
          </w:divsChild>
        </w:div>
        <w:div w:id="1676304919">
          <w:marLeft w:val="0"/>
          <w:marRight w:val="0"/>
          <w:marTop w:val="0"/>
          <w:marBottom w:val="0"/>
          <w:divBdr>
            <w:top w:val="none" w:sz="0" w:space="0" w:color="auto"/>
            <w:left w:val="none" w:sz="0" w:space="0" w:color="auto"/>
            <w:bottom w:val="none" w:sz="0" w:space="0" w:color="auto"/>
            <w:right w:val="none" w:sz="0" w:space="0" w:color="auto"/>
          </w:divBdr>
          <w:divsChild>
            <w:div w:id="76900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93478">
      <w:bodyDiv w:val="1"/>
      <w:marLeft w:val="0"/>
      <w:marRight w:val="0"/>
      <w:marTop w:val="0"/>
      <w:marBottom w:val="0"/>
      <w:divBdr>
        <w:top w:val="none" w:sz="0" w:space="0" w:color="auto"/>
        <w:left w:val="none" w:sz="0" w:space="0" w:color="auto"/>
        <w:bottom w:val="none" w:sz="0" w:space="0" w:color="auto"/>
        <w:right w:val="none" w:sz="0" w:space="0" w:color="auto"/>
      </w:divBdr>
      <w:divsChild>
        <w:div w:id="1164400080">
          <w:marLeft w:val="0"/>
          <w:marRight w:val="0"/>
          <w:marTop w:val="0"/>
          <w:marBottom w:val="0"/>
          <w:divBdr>
            <w:top w:val="none" w:sz="0" w:space="0" w:color="auto"/>
            <w:left w:val="none" w:sz="0" w:space="0" w:color="auto"/>
            <w:bottom w:val="none" w:sz="0" w:space="0" w:color="auto"/>
            <w:right w:val="none" w:sz="0" w:space="0" w:color="auto"/>
          </w:divBdr>
          <w:divsChild>
            <w:div w:id="1250654570">
              <w:marLeft w:val="0"/>
              <w:marRight w:val="0"/>
              <w:marTop w:val="240"/>
              <w:marBottom w:val="0"/>
              <w:divBdr>
                <w:top w:val="none" w:sz="0" w:space="0" w:color="auto"/>
                <w:left w:val="none" w:sz="0" w:space="0" w:color="auto"/>
                <w:bottom w:val="none" w:sz="0" w:space="0" w:color="auto"/>
                <w:right w:val="none" w:sz="0" w:space="0" w:color="auto"/>
              </w:divBdr>
            </w:div>
            <w:div w:id="1923906177">
              <w:marLeft w:val="0"/>
              <w:marRight w:val="0"/>
              <w:marTop w:val="0"/>
              <w:marBottom w:val="0"/>
              <w:divBdr>
                <w:top w:val="none" w:sz="0" w:space="0" w:color="auto"/>
                <w:left w:val="none" w:sz="0" w:space="0" w:color="auto"/>
                <w:bottom w:val="none" w:sz="0" w:space="0" w:color="auto"/>
                <w:right w:val="none" w:sz="0" w:space="0" w:color="auto"/>
              </w:divBdr>
            </w:div>
            <w:div w:id="1553804429">
              <w:marLeft w:val="0"/>
              <w:marRight w:val="0"/>
              <w:marTop w:val="240"/>
              <w:marBottom w:val="0"/>
              <w:divBdr>
                <w:top w:val="none" w:sz="0" w:space="0" w:color="auto"/>
                <w:left w:val="none" w:sz="0" w:space="0" w:color="auto"/>
                <w:bottom w:val="none" w:sz="0" w:space="0" w:color="auto"/>
                <w:right w:val="none" w:sz="0" w:space="0" w:color="auto"/>
              </w:divBdr>
            </w:div>
            <w:div w:id="114650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398607">
      <w:bodyDiv w:val="1"/>
      <w:marLeft w:val="0"/>
      <w:marRight w:val="0"/>
      <w:marTop w:val="0"/>
      <w:marBottom w:val="0"/>
      <w:divBdr>
        <w:top w:val="none" w:sz="0" w:space="0" w:color="auto"/>
        <w:left w:val="none" w:sz="0" w:space="0" w:color="auto"/>
        <w:bottom w:val="none" w:sz="0" w:space="0" w:color="auto"/>
        <w:right w:val="none" w:sz="0" w:space="0" w:color="auto"/>
      </w:divBdr>
      <w:divsChild>
        <w:div w:id="1596287967">
          <w:marLeft w:val="0"/>
          <w:marRight w:val="0"/>
          <w:marTop w:val="0"/>
          <w:marBottom w:val="0"/>
          <w:divBdr>
            <w:top w:val="none" w:sz="0" w:space="0" w:color="auto"/>
            <w:left w:val="none" w:sz="0" w:space="0" w:color="auto"/>
            <w:bottom w:val="none" w:sz="0" w:space="0" w:color="auto"/>
            <w:right w:val="none" w:sz="0" w:space="0" w:color="auto"/>
          </w:divBdr>
          <w:divsChild>
            <w:div w:id="486753641">
              <w:marLeft w:val="0"/>
              <w:marRight w:val="0"/>
              <w:marTop w:val="0"/>
              <w:marBottom w:val="0"/>
              <w:divBdr>
                <w:top w:val="none" w:sz="0" w:space="0" w:color="auto"/>
                <w:left w:val="none" w:sz="0" w:space="0" w:color="auto"/>
                <w:bottom w:val="none" w:sz="0" w:space="0" w:color="auto"/>
                <w:right w:val="none" w:sz="0" w:space="0" w:color="auto"/>
              </w:divBdr>
            </w:div>
          </w:divsChild>
        </w:div>
        <w:div w:id="1961758714">
          <w:marLeft w:val="0"/>
          <w:marRight w:val="0"/>
          <w:marTop w:val="0"/>
          <w:marBottom w:val="0"/>
          <w:divBdr>
            <w:top w:val="none" w:sz="0" w:space="0" w:color="auto"/>
            <w:left w:val="none" w:sz="0" w:space="0" w:color="auto"/>
            <w:bottom w:val="none" w:sz="0" w:space="0" w:color="auto"/>
            <w:right w:val="none" w:sz="0" w:space="0" w:color="auto"/>
          </w:divBdr>
          <w:divsChild>
            <w:div w:id="1700356393">
              <w:marLeft w:val="0"/>
              <w:marRight w:val="0"/>
              <w:marTop w:val="0"/>
              <w:marBottom w:val="0"/>
              <w:divBdr>
                <w:top w:val="none" w:sz="0" w:space="0" w:color="auto"/>
                <w:left w:val="none" w:sz="0" w:space="0" w:color="auto"/>
                <w:bottom w:val="none" w:sz="0" w:space="0" w:color="auto"/>
                <w:right w:val="none" w:sz="0" w:space="0" w:color="auto"/>
              </w:divBdr>
            </w:div>
          </w:divsChild>
        </w:div>
        <w:div w:id="298387185">
          <w:marLeft w:val="0"/>
          <w:marRight w:val="0"/>
          <w:marTop w:val="0"/>
          <w:marBottom w:val="0"/>
          <w:divBdr>
            <w:top w:val="none" w:sz="0" w:space="0" w:color="auto"/>
            <w:left w:val="none" w:sz="0" w:space="0" w:color="auto"/>
            <w:bottom w:val="none" w:sz="0" w:space="0" w:color="auto"/>
            <w:right w:val="none" w:sz="0" w:space="0" w:color="auto"/>
          </w:divBdr>
          <w:divsChild>
            <w:div w:id="2068066611">
              <w:marLeft w:val="0"/>
              <w:marRight w:val="0"/>
              <w:marTop w:val="0"/>
              <w:marBottom w:val="0"/>
              <w:divBdr>
                <w:top w:val="none" w:sz="0" w:space="0" w:color="auto"/>
                <w:left w:val="none" w:sz="0" w:space="0" w:color="auto"/>
                <w:bottom w:val="none" w:sz="0" w:space="0" w:color="auto"/>
                <w:right w:val="none" w:sz="0" w:space="0" w:color="auto"/>
              </w:divBdr>
            </w:div>
          </w:divsChild>
        </w:div>
        <w:div w:id="1438715553">
          <w:marLeft w:val="0"/>
          <w:marRight w:val="0"/>
          <w:marTop w:val="0"/>
          <w:marBottom w:val="0"/>
          <w:divBdr>
            <w:top w:val="none" w:sz="0" w:space="0" w:color="auto"/>
            <w:left w:val="none" w:sz="0" w:space="0" w:color="auto"/>
            <w:bottom w:val="none" w:sz="0" w:space="0" w:color="auto"/>
            <w:right w:val="none" w:sz="0" w:space="0" w:color="auto"/>
          </w:divBdr>
          <w:divsChild>
            <w:div w:id="1674455345">
              <w:marLeft w:val="0"/>
              <w:marRight w:val="0"/>
              <w:marTop w:val="0"/>
              <w:marBottom w:val="0"/>
              <w:divBdr>
                <w:top w:val="none" w:sz="0" w:space="0" w:color="auto"/>
                <w:left w:val="none" w:sz="0" w:space="0" w:color="auto"/>
                <w:bottom w:val="none" w:sz="0" w:space="0" w:color="auto"/>
                <w:right w:val="none" w:sz="0" w:space="0" w:color="auto"/>
              </w:divBdr>
            </w:div>
            <w:div w:id="1310741545">
              <w:marLeft w:val="0"/>
              <w:marRight w:val="0"/>
              <w:marTop w:val="0"/>
              <w:marBottom w:val="0"/>
              <w:divBdr>
                <w:top w:val="none" w:sz="0" w:space="0" w:color="auto"/>
                <w:left w:val="none" w:sz="0" w:space="0" w:color="auto"/>
                <w:bottom w:val="none" w:sz="0" w:space="0" w:color="auto"/>
                <w:right w:val="none" w:sz="0" w:space="0" w:color="auto"/>
              </w:divBdr>
              <w:divsChild>
                <w:div w:id="60181938">
                  <w:marLeft w:val="0"/>
                  <w:marRight w:val="0"/>
                  <w:marTop w:val="0"/>
                  <w:marBottom w:val="0"/>
                  <w:divBdr>
                    <w:top w:val="none" w:sz="0" w:space="0" w:color="auto"/>
                    <w:left w:val="none" w:sz="0" w:space="0" w:color="auto"/>
                    <w:bottom w:val="none" w:sz="0" w:space="0" w:color="auto"/>
                    <w:right w:val="none" w:sz="0" w:space="0" w:color="auto"/>
                  </w:divBdr>
                  <w:divsChild>
                    <w:div w:id="620723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548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853875">
          <w:marLeft w:val="0"/>
          <w:marRight w:val="0"/>
          <w:marTop w:val="0"/>
          <w:marBottom w:val="0"/>
          <w:divBdr>
            <w:top w:val="none" w:sz="0" w:space="0" w:color="auto"/>
            <w:left w:val="none" w:sz="0" w:space="0" w:color="auto"/>
            <w:bottom w:val="none" w:sz="0" w:space="0" w:color="auto"/>
            <w:right w:val="none" w:sz="0" w:space="0" w:color="auto"/>
          </w:divBdr>
          <w:divsChild>
            <w:div w:id="1412775921">
              <w:marLeft w:val="0"/>
              <w:marRight w:val="0"/>
              <w:marTop w:val="0"/>
              <w:marBottom w:val="0"/>
              <w:divBdr>
                <w:top w:val="none" w:sz="0" w:space="0" w:color="auto"/>
                <w:left w:val="none" w:sz="0" w:space="0" w:color="auto"/>
                <w:bottom w:val="none" w:sz="0" w:space="0" w:color="auto"/>
                <w:right w:val="none" w:sz="0" w:space="0" w:color="auto"/>
              </w:divBdr>
            </w:div>
          </w:divsChild>
        </w:div>
        <w:div w:id="506990868">
          <w:marLeft w:val="0"/>
          <w:marRight w:val="0"/>
          <w:marTop w:val="0"/>
          <w:marBottom w:val="0"/>
          <w:divBdr>
            <w:top w:val="none" w:sz="0" w:space="0" w:color="auto"/>
            <w:left w:val="none" w:sz="0" w:space="0" w:color="auto"/>
            <w:bottom w:val="none" w:sz="0" w:space="0" w:color="auto"/>
            <w:right w:val="none" w:sz="0" w:space="0" w:color="auto"/>
          </w:divBdr>
          <w:divsChild>
            <w:div w:id="1583640242">
              <w:marLeft w:val="0"/>
              <w:marRight w:val="0"/>
              <w:marTop w:val="0"/>
              <w:marBottom w:val="0"/>
              <w:divBdr>
                <w:top w:val="none" w:sz="0" w:space="0" w:color="auto"/>
                <w:left w:val="none" w:sz="0" w:space="0" w:color="auto"/>
                <w:bottom w:val="none" w:sz="0" w:space="0" w:color="auto"/>
                <w:right w:val="none" w:sz="0" w:space="0" w:color="auto"/>
              </w:divBdr>
            </w:div>
            <w:div w:id="1333607072">
              <w:marLeft w:val="0"/>
              <w:marRight w:val="0"/>
              <w:marTop w:val="0"/>
              <w:marBottom w:val="0"/>
              <w:divBdr>
                <w:top w:val="none" w:sz="0" w:space="0" w:color="auto"/>
                <w:left w:val="none" w:sz="0" w:space="0" w:color="auto"/>
                <w:bottom w:val="none" w:sz="0" w:space="0" w:color="auto"/>
                <w:right w:val="none" w:sz="0" w:space="0" w:color="auto"/>
              </w:divBdr>
              <w:divsChild>
                <w:div w:id="550531285">
                  <w:marLeft w:val="0"/>
                  <w:marRight w:val="0"/>
                  <w:marTop w:val="0"/>
                  <w:marBottom w:val="0"/>
                  <w:divBdr>
                    <w:top w:val="none" w:sz="0" w:space="0" w:color="auto"/>
                    <w:left w:val="none" w:sz="0" w:space="0" w:color="auto"/>
                    <w:bottom w:val="none" w:sz="0" w:space="0" w:color="auto"/>
                    <w:right w:val="none" w:sz="0" w:space="0" w:color="auto"/>
                  </w:divBdr>
                  <w:divsChild>
                    <w:div w:id="726318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225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840527">
          <w:marLeft w:val="0"/>
          <w:marRight w:val="0"/>
          <w:marTop w:val="0"/>
          <w:marBottom w:val="0"/>
          <w:divBdr>
            <w:top w:val="none" w:sz="0" w:space="0" w:color="auto"/>
            <w:left w:val="none" w:sz="0" w:space="0" w:color="auto"/>
            <w:bottom w:val="none" w:sz="0" w:space="0" w:color="auto"/>
            <w:right w:val="none" w:sz="0" w:space="0" w:color="auto"/>
          </w:divBdr>
          <w:divsChild>
            <w:div w:id="861671452">
              <w:marLeft w:val="0"/>
              <w:marRight w:val="0"/>
              <w:marTop w:val="0"/>
              <w:marBottom w:val="0"/>
              <w:divBdr>
                <w:top w:val="none" w:sz="0" w:space="0" w:color="auto"/>
                <w:left w:val="none" w:sz="0" w:space="0" w:color="auto"/>
                <w:bottom w:val="none" w:sz="0" w:space="0" w:color="auto"/>
                <w:right w:val="none" w:sz="0" w:space="0" w:color="auto"/>
              </w:divBdr>
            </w:div>
          </w:divsChild>
        </w:div>
        <w:div w:id="1965188986">
          <w:marLeft w:val="0"/>
          <w:marRight w:val="0"/>
          <w:marTop w:val="0"/>
          <w:marBottom w:val="0"/>
          <w:divBdr>
            <w:top w:val="none" w:sz="0" w:space="0" w:color="auto"/>
            <w:left w:val="none" w:sz="0" w:space="0" w:color="auto"/>
            <w:bottom w:val="none" w:sz="0" w:space="0" w:color="auto"/>
            <w:right w:val="none" w:sz="0" w:space="0" w:color="auto"/>
          </w:divBdr>
          <w:divsChild>
            <w:div w:id="1412312660">
              <w:marLeft w:val="0"/>
              <w:marRight w:val="0"/>
              <w:marTop w:val="0"/>
              <w:marBottom w:val="0"/>
              <w:divBdr>
                <w:top w:val="none" w:sz="0" w:space="0" w:color="auto"/>
                <w:left w:val="none" w:sz="0" w:space="0" w:color="auto"/>
                <w:bottom w:val="none" w:sz="0" w:space="0" w:color="auto"/>
                <w:right w:val="none" w:sz="0" w:space="0" w:color="auto"/>
              </w:divBdr>
            </w:div>
          </w:divsChild>
        </w:div>
        <w:div w:id="1179004958">
          <w:marLeft w:val="0"/>
          <w:marRight w:val="0"/>
          <w:marTop w:val="0"/>
          <w:marBottom w:val="0"/>
          <w:divBdr>
            <w:top w:val="none" w:sz="0" w:space="0" w:color="auto"/>
            <w:left w:val="none" w:sz="0" w:space="0" w:color="auto"/>
            <w:bottom w:val="none" w:sz="0" w:space="0" w:color="auto"/>
            <w:right w:val="none" w:sz="0" w:space="0" w:color="auto"/>
          </w:divBdr>
          <w:divsChild>
            <w:div w:id="1352299443">
              <w:marLeft w:val="0"/>
              <w:marRight w:val="0"/>
              <w:marTop w:val="0"/>
              <w:marBottom w:val="0"/>
              <w:divBdr>
                <w:top w:val="none" w:sz="0" w:space="0" w:color="auto"/>
                <w:left w:val="none" w:sz="0" w:space="0" w:color="auto"/>
                <w:bottom w:val="none" w:sz="0" w:space="0" w:color="auto"/>
                <w:right w:val="none" w:sz="0" w:space="0" w:color="auto"/>
              </w:divBdr>
            </w:div>
          </w:divsChild>
        </w:div>
        <w:div w:id="139277203">
          <w:marLeft w:val="0"/>
          <w:marRight w:val="0"/>
          <w:marTop w:val="0"/>
          <w:marBottom w:val="0"/>
          <w:divBdr>
            <w:top w:val="none" w:sz="0" w:space="0" w:color="auto"/>
            <w:left w:val="none" w:sz="0" w:space="0" w:color="auto"/>
            <w:bottom w:val="none" w:sz="0" w:space="0" w:color="auto"/>
            <w:right w:val="none" w:sz="0" w:space="0" w:color="auto"/>
          </w:divBdr>
          <w:divsChild>
            <w:div w:id="1933735414">
              <w:marLeft w:val="0"/>
              <w:marRight w:val="0"/>
              <w:marTop w:val="0"/>
              <w:marBottom w:val="0"/>
              <w:divBdr>
                <w:top w:val="none" w:sz="0" w:space="0" w:color="auto"/>
                <w:left w:val="none" w:sz="0" w:space="0" w:color="auto"/>
                <w:bottom w:val="none" w:sz="0" w:space="0" w:color="auto"/>
                <w:right w:val="none" w:sz="0" w:space="0" w:color="auto"/>
              </w:divBdr>
            </w:div>
          </w:divsChild>
        </w:div>
        <w:div w:id="448165853">
          <w:marLeft w:val="0"/>
          <w:marRight w:val="0"/>
          <w:marTop w:val="0"/>
          <w:marBottom w:val="0"/>
          <w:divBdr>
            <w:top w:val="none" w:sz="0" w:space="0" w:color="auto"/>
            <w:left w:val="none" w:sz="0" w:space="0" w:color="auto"/>
            <w:bottom w:val="none" w:sz="0" w:space="0" w:color="auto"/>
            <w:right w:val="none" w:sz="0" w:space="0" w:color="auto"/>
          </w:divBdr>
          <w:divsChild>
            <w:div w:id="751194370">
              <w:marLeft w:val="0"/>
              <w:marRight w:val="0"/>
              <w:marTop w:val="0"/>
              <w:marBottom w:val="0"/>
              <w:divBdr>
                <w:top w:val="none" w:sz="0" w:space="0" w:color="auto"/>
                <w:left w:val="none" w:sz="0" w:space="0" w:color="auto"/>
                <w:bottom w:val="none" w:sz="0" w:space="0" w:color="auto"/>
                <w:right w:val="none" w:sz="0" w:space="0" w:color="auto"/>
              </w:divBdr>
            </w:div>
            <w:div w:id="1381858070">
              <w:marLeft w:val="0"/>
              <w:marRight w:val="0"/>
              <w:marTop w:val="0"/>
              <w:marBottom w:val="0"/>
              <w:divBdr>
                <w:top w:val="none" w:sz="0" w:space="0" w:color="auto"/>
                <w:left w:val="none" w:sz="0" w:space="0" w:color="auto"/>
                <w:bottom w:val="none" w:sz="0" w:space="0" w:color="auto"/>
                <w:right w:val="none" w:sz="0" w:space="0" w:color="auto"/>
              </w:divBdr>
              <w:divsChild>
                <w:div w:id="771438424">
                  <w:marLeft w:val="0"/>
                  <w:marRight w:val="0"/>
                  <w:marTop w:val="0"/>
                  <w:marBottom w:val="0"/>
                  <w:divBdr>
                    <w:top w:val="none" w:sz="0" w:space="0" w:color="auto"/>
                    <w:left w:val="none" w:sz="0" w:space="0" w:color="auto"/>
                    <w:bottom w:val="none" w:sz="0" w:space="0" w:color="auto"/>
                    <w:right w:val="none" w:sz="0" w:space="0" w:color="auto"/>
                  </w:divBdr>
                  <w:divsChild>
                    <w:div w:id="17200841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004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484686">
          <w:marLeft w:val="0"/>
          <w:marRight w:val="0"/>
          <w:marTop w:val="0"/>
          <w:marBottom w:val="0"/>
          <w:divBdr>
            <w:top w:val="none" w:sz="0" w:space="0" w:color="auto"/>
            <w:left w:val="none" w:sz="0" w:space="0" w:color="auto"/>
            <w:bottom w:val="none" w:sz="0" w:space="0" w:color="auto"/>
            <w:right w:val="none" w:sz="0" w:space="0" w:color="auto"/>
          </w:divBdr>
          <w:divsChild>
            <w:div w:id="140928857">
              <w:marLeft w:val="0"/>
              <w:marRight w:val="0"/>
              <w:marTop w:val="0"/>
              <w:marBottom w:val="0"/>
              <w:divBdr>
                <w:top w:val="none" w:sz="0" w:space="0" w:color="auto"/>
                <w:left w:val="none" w:sz="0" w:space="0" w:color="auto"/>
                <w:bottom w:val="none" w:sz="0" w:space="0" w:color="auto"/>
                <w:right w:val="none" w:sz="0" w:space="0" w:color="auto"/>
              </w:divBdr>
            </w:div>
          </w:divsChild>
        </w:div>
        <w:div w:id="510491698">
          <w:marLeft w:val="0"/>
          <w:marRight w:val="0"/>
          <w:marTop w:val="0"/>
          <w:marBottom w:val="0"/>
          <w:divBdr>
            <w:top w:val="none" w:sz="0" w:space="0" w:color="auto"/>
            <w:left w:val="none" w:sz="0" w:space="0" w:color="auto"/>
            <w:bottom w:val="none" w:sz="0" w:space="0" w:color="auto"/>
            <w:right w:val="none" w:sz="0" w:space="0" w:color="auto"/>
          </w:divBdr>
          <w:divsChild>
            <w:div w:id="2045203968">
              <w:marLeft w:val="0"/>
              <w:marRight w:val="0"/>
              <w:marTop w:val="0"/>
              <w:marBottom w:val="0"/>
              <w:divBdr>
                <w:top w:val="none" w:sz="0" w:space="0" w:color="auto"/>
                <w:left w:val="none" w:sz="0" w:space="0" w:color="auto"/>
                <w:bottom w:val="none" w:sz="0" w:space="0" w:color="auto"/>
                <w:right w:val="none" w:sz="0" w:space="0" w:color="auto"/>
              </w:divBdr>
            </w:div>
            <w:div w:id="1319770191">
              <w:marLeft w:val="0"/>
              <w:marRight w:val="0"/>
              <w:marTop w:val="0"/>
              <w:marBottom w:val="0"/>
              <w:divBdr>
                <w:top w:val="none" w:sz="0" w:space="0" w:color="auto"/>
                <w:left w:val="none" w:sz="0" w:space="0" w:color="auto"/>
                <w:bottom w:val="none" w:sz="0" w:space="0" w:color="auto"/>
                <w:right w:val="none" w:sz="0" w:space="0" w:color="auto"/>
              </w:divBdr>
              <w:divsChild>
                <w:div w:id="1361513391">
                  <w:marLeft w:val="0"/>
                  <w:marRight w:val="0"/>
                  <w:marTop w:val="0"/>
                  <w:marBottom w:val="0"/>
                  <w:divBdr>
                    <w:top w:val="none" w:sz="0" w:space="0" w:color="auto"/>
                    <w:left w:val="none" w:sz="0" w:space="0" w:color="auto"/>
                    <w:bottom w:val="none" w:sz="0" w:space="0" w:color="auto"/>
                    <w:right w:val="none" w:sz="0" w:space="0" w:color="auto"/>
                  </w:divBdr>
                  <w:divsChild>
                    <w:div w:id="7064430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345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986414">
          <w:marLeft w:val="0"/>
          <w:marRight w:val="0"/>
          <w:marTop w:val="0"/>
          <w:marBottom w:val="0"/>
          <w:divBdr>
            <w:top w:val="none" w:sz="0" w:space="0" w:color="auto"/>
            <w:left w:val="none" w:sz="0" w:space="0" w:color="auto"/>
            <w:bottom w:val="none" w:sz="0" w:space="0" w:color="auto"/>
            <w:right w:val="none" w:sz="0" w:space="0" w:color="auto"/>
          </w:divBdr>
          <w:divsChild>
            <w:div w:id="919750293">
              <w:marLeft w:val="0"/>
              <w:marRight w:val="0"/>
              <w:marTop w:val="0"/>
              <w:marBottom w:val="0"/>
              <w:divBdr>
                <w:top w:val="none" w:sz="0" w:space="0" w:color="auto"/>
                <w:left w:val="none" w:sz="0" w:space="0" w:color="auto"/>
                <w:bottom w:val="none" w:sz="0" w:space="0" w:color="auto"/>
                <w:right w:val="none" w:sz="0" w:space="0" w:color="auto"/>
              </w:divBdr>
            </w:div>
          </w:divsChild>
        </w:div>
        <w:div w:id="1288005859">
          <w:marLeft w:val="0"/>
          <w:marRight w:val="0"/>
          <w:marTop w:val="0"/>
          <w:marBottom w:val="0"/>
          <w:divBdr>
            <w:top w:val="none" w:sz="0" w:space="0" w:color="auto"/>
            <w:left w:val="none" w:sz="0" w:space="0" w:color="auto"/>
            <w:bottom w:val="none" w:sz="0" w:space="0" w:color="auto"/>
            <w:right w:val="none" w:sz="0" w:space="0" w:color="auto"/>
          </w:divBdr>
          <w:divsChild>
            <w:div w:id="595748886">
              <w:marLeft w:val="0"/>
              <w:marRight w:val="0"/>
              <w:marTop w:val="0"/>
              <w:marBottom w:val="0"/>
              <w:divBdr>
                <w:top w:val="none" w:sz="0" w:space="0" w:color="auto"/>
                <w:left w:val="none" w:sz="0" w:space="0" w:color="auto"/>
                <w:bottom w:val="none" w:sz="0" w:space="0" w:color="auto"/>
                <w:right w:val="none" w:sz="0" w:space="0" w:color="auto"/>
              </w:divBdr>
            </w:div>
            <w:div w:id="2077319000">
              <w:marLeft w:val="0"/>
              <w:marRight w:val="0"/>
              <w:marTop w:val="0"/>
              <w:marBottom w:val="0"/>
              <w:divBdr>
                <w:top w:val="none" w:sz="0" w:space="0" w:color="auto"/>
                <w:left w:val="none" w:sz="0" w:space="0" w:color="auto"/>
                <w:bottom w:val="none" w:sz="0" w:space="0" w:color="auto"/>
                <w:right w:val="none" w:sz="0" w:space="0" w:color="auto"/>
              </w:divBdr>
              <w:divsChild>
                <w:div w:id="1049575802">
                  <w:marLeft w:val="0"/>
                  <w:marRight w:val="0"/>
                  <w:marTop w:val="0"/>
                  <w:marBottom w:val="0"/>
                  <w:divBdr>
                    <w:top w:val="none" w:sz="0" w:space="0" w:color="auto"/>
                    <w:left w:val="none" w:sz="0" w:space="0" w:color="auto"/>
                    <w:bottom w:val="none" w:sz="0" w:space="0" w:color="auto"/>
                    <w:right w:val="none" w:sz="0" w:space="0" w:color="auto"/>
                  </w:divBdr>
                  <w:divsChild>
                    <w:div w:id="1359994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145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1395244">
          <w:marLeft w:val="0"/>
          <w:marRight w:val="0"/>
          <w:marTop w:val="0"/>
          <w:marBottom w:val="0"/>
          <w:divBdr>
            <w:top w:val="none" w:sz="0" w:space="0" w:color="auto"/>
            <w:left w:val="none" w:sz="0" w:space="0" w:color="auto"/>
            <w:bottom w:val="none" w:sz="0" w:space="0" w:color="auto"/>
            <w:right w:val="none" w:sz="0" w:space="0" w:color="auto"/>
          </w:divBdr>
          <w:divsChild>
            <w:div w:id="2019575503">
              <w:marLeft w:val="0"/>
              <w:marRight w:val="0"/>
              <w:marTop w:val="0"/>
              <w:marBottom w:val="0"/>
              <w:divBdr>
                <w:top w:val="none" w:sz="0" w:space="0" w:color="auto"/>
                <w:left w:val="none" w:sz="0" w:space="0" w:color="auto"/>
                <w:bottom w:val="none" w:sz="0" w:space="0" w:color="auto"/>
                <w:right w:val="none" w:sz="0" w:space="0" w:color="auto"/>
              </w:divBdr>
            </w:div>
          </w:divsChild>
        </w:div>
        <w:div w:id="871962087">
          <w:marLeft w:val="0"/>
          <w:marRight w:val="0"/>
          <w:marTop w:val="0"/>
          <w:marBottom w:val="0"/>
          <w:divBdr>
            <w:top w:val="none" w:sz="0" w:space="0" w:color="auto"/>
            <w:left w:val="none" w:sz="0" w:space="0" w:color="auto"/>
            <w:bottom w:val="none" w:sz="0" w:space="0" w:color="auto"/>
            <w:right w:val="none" w:sz="0" w:space="0" w:color="auto"/>
          </w:divBdr>
          <w:divsChild>
            <w:div w:id="1144468635">
              <w:marLeft w:val="0"/>
              <w:marRight w:val="0"/>
              <w:marTop w:val="0"/>
              <w:marBottom w:val="0"/>
              <w:divBdr>
                <w:top w:val="none" w:sz="0" w:space="0" w:color="auto"/>
                <w:left w:val="none" w:sz="0" w:space="0" w:color="auto"/>
                <w:bottom w:val="none" w:sz="0" w:space="0" w:color="auto"/>
                <w:right w:val="none" w:sz="0" w:space="0" w:color="auto"/>
              </w:divBdr>
            </w:div>
            <w:div w:id="1815367757">
              <w:marLeft w:val="0"/>
              <w:marRight w:val="0"/>
              <w:marTop w:val="0"/>
              <w:marBottom w:val="0"/>
              <w:divBdr>
                <w:top w:val="none" w:sz="0" w:space="0" w:color="auto"/>
                <w:left w:val="none" w:sz="0" w:space="0" w:color="auto"/>
                <w:bottom w:val="none" w:sz="0" w:space="0" w:color="auto"/>
                <w:right w:val="none" w:sz="0" w:space="0" w:color="auto"/>
              </w:divBdr>
              <w:divsChild>
                <w:div w:id="1469519556">
                  <w:marLeft w:val="0"/>
                  <w:marRight w:val="0"/>
                  <w:marTop w:val="0"/>
                  <w:marBottom w:val="0"/>
                  <w:divBdr>
                    <w:top w:val="none" w:sz="0" w:space="0" w:color="auto"/>
                    <w:left w:val="none" w:sz="0" w:space="0" w:color="auto"/>
                    <w:bottom w:val="none" w:sz="0" w:space="0" w:color="auto"/>
                    <w:right w:val="none" w:sz="0" w:space="0" w:color="auto"/>
                  </w:divBdr>
                  <w:divsChild>
                    <w:div w:id="15421356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017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459087">
          <w:marLeft w:val="0"/>
          <w:marRight w:val="0"/>
          <w:marTop w:val="0"/>
          <w:marBottom w:val="0"/>
          <w:divBdr>
            <w:top w:val="none" w:sz="0" w:space="0" w:color="auto"/>
            <w:left w:val="none" w:sz="0" w:space="0" w:color="auto"/>
            <w:bottom w:val="none" w:sz="0" w:space="0" w:color="auto"/>
            <w:right w:val="none" w:sz="0" w:space="0" w:color="auto"/>
          </w:divBdr>
          <w:divsChild>
            <w:div w:id="138918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529203">
      <w:bodyDiv w:val="1"/>
      <w:marLeft w:val="0"/>
      <w:marRight w:val="0"/>
      <w:marTop w:val="0"/>
      <w:marBottom w:val="0"/>
      <w:divBdr>
        <w:top w:val="none" w:sz="0" w:space="0" w:color="auto"/>
        <w:left w:val="none" w:sz="0" w:space="0" w:color="auto"/>
        <w:bottom w:val="none" w:sz="0" w:space="0" w:color="auto"/>
        <w:right w:val="none" w:sz="0" w:space="0" w:color="auto"/>
      </w:divBdr>
      <w:divsChild>
        <w:div w:id="1134978744">
          <w:marLeft w:val="0"/>
          <w:marRight w:val="0"/>
          <w:marTop w:val="0"/>
          <w:marBottom w:val="0"/>
          <w:divBdr>
            <w:top w:val="none" w:sz="0" w:space="0" w:color="auto"/>
            <w:left w:val="none" w:sz="0" w:space="0" w:color="auto"/>
            <w:bottom w:val="none" w:sz="0" w:space="0" w:color="auto"/>
            <w:right w:val="none" w:sz="0" w:space="0" w:color="auto"/>
          </w:divBdr>
          <w:divsChild>
            <w:div w:id="60955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75930">
      <w:bodyDiv w:val="1"/>
      <w:marLeft w:val="0"/>
      <w:marRight w:val="0"/>
      <w:marTop w:val="0"/>
      <w:marBottom w:val="0"/>
      <w:divBdr>
        <w:top w:val="none" w:sz="0" w:space="0" w:color="auto"/>
        <w:left w:val="none" w:sz="0" w:space="0" w:color="auto"/>
        <w:bottom w:val="none" w:sz="0" w:space="0" w:color="auto"/>
        <w:right w:val="none" w:sz="0" w:space="0" w:color="auto"/>
      </w:divBdr>
    </w:div>
    <w:div w:id="1209411476">
      <w:bodyDiv w:val="1"/>
      <w:marLeft w:val="0"/>
      <w:marRight w:val="0"/>
      <w:marTop w:val="0"/>
      <w:marBottom w:val="0"/>
      <w:divBdr>
        <w:top w:val="none" w:sz="0" w:space="0" w:color="auto"/>
        <w:left w:val="none" w:sz="0" w:space="0" w:color="auto"/>
        <w:bottom w:val="none" w:sz="0" w:space="0" w:color="auto"/>
        <w:right w:val="none" w:sz="0" w:space="0" w:color="auto"/>
      </w:divBdr>
      <w:divsChild>
        <w:div w:id="1150243789">
          <w:marLeft w:val="0"/>
          <w:marRight w:val="0"/>
          <w:marTop w:val="0"/>
          <w:marBottom w:val="0"/>
          <w:divBdr>
            <w:top w:val="none" w:sz="0" w:space="0" w:color="auto"/>
            <w:left w:val="none" w:sz="0" w:space="0" w:color="auto"/>
            <w:bottom w:val="none" w:sz="0" w:space="0" w:color="auto"/>
            <w:right w:val="none" w:sz="0" w:space="0" w:color="auto"/>
          </w:divBdr>
        </w:div>
        <w:div w:id="185484728">
          <w:marLeft w:val="0"/>
          <w:marRight w:val="0"/>
          <w:marTop w:val="0"/>
          <w:marBottom w:val="0"/>
          <w:divBdr>
            <w:top w:val="none" w:sz="0" w:space="0" w:color="auto"/>
            <w:left w:val="none" w:sz="0" w:space="0" w:color="auto"/>
            <w:bottom w:val="none" w:sz="0" w:space="0" w:color="auto"/>
            <w:right w:val="none" w:sz="0" w:space="0" w:color="auto"/>
          </w:divBdr>
        </w:div>
      </w:divsChild>
    </w:div>
    <w:div w:id="1309437947">
      <w:bodyDiv w:val="1"/>
      <w:marLeft w:val="0"/>
      <w:marRight w:val="0"/>
      <w:marTop w:val="0"/>
      <w:marBottom w:val="0"/>
      <w:divBdr>
        <w:top w:val="none" w:sz="0" w:space="0" w:color="auto"/>
        <w:left w:val="none" w:sz="0" w:space="0" w:color="auto"/>
        <w:bottom w:val="none" w:sz="0" w:space="0" w:color="auto"/>
        <w:right w:val="none" w:sz="0" w:space="0" w:color="auto"/>
      </w:divBdr>
      <w:divsChild>
        <w:div w:id="2010600452">
          <w:marLeft w:val="0"/>
          <w:marRight w:val="0"/>
          <w:marTop w:val="0"/>
          <w:marBottom w:val="0"/>
          <w:divBdr>
            <w:top w:val="none" w:sz="0" w:space="0" w:color="auto"/>
            <w:left w:val="none" w:sz="0" w:space="0" w:color="auto"/>
            <w:bottom w:val="none" w:sz="0" w:space="0" w:color="auto"/>
            <w:right w:val="none" w:sz="0" w:space="0" w:color="auto"/>
          </w:divBdr>
          <w:divsChild>
            <w:div w:id="21151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960324">
      <w:bodyDiv w:val="1"/>
      <w:marLeft w:val="0"/>
      <w:marRight w:val="0"/>
      <w:marTop w:val="0"/>
      <w:marBottom w:val="0"/>
      <w:divBdr>
        <w:top w:val="none" w:sz="0" w:space="0" w:color="auto"/>
        <w:left w:val="none" w:sz="0" w:space="0" w:color="auto"/>
        <w:bottom w:val="none" w:sz="0" w:space="0" w:color="auto"/>
        <w:right w:val="none" w:sz="0" w:space="0" w:color="auto"/>
      </w:divBdr>
      <w:divsChild>
        <w:div w:id="908806334">
          <w:marLeft w:val="0"/>
          <w:marRight w:val="0"/>
          <w:marTop w:val="0"/>
          <w:marBottom w:val="0"/>
          <w:divBdr>
            <w:top w:val="none" w:sz="0" w:space="0" w:color="auto"/>
            <w:left w:val="none" w:sz="0" w:space="0" w:color="auto"/>
            <w:bottom w:val="none" w:sz="0" w:space="0" w:color="auto"/>
            <w:right w:val="none" w:sz="0" w:space="0" w:color="auto"/>
          </w:divBdr>
          <w:divsChild>
            <w:div w:id="118104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869483">
      <w:bodyDiv w:val="1"/>
      <w:marLeft w:val="0"/>
      <w:marRight w:val="0"/>
      <w:marTop w:val="0"/>
      <w:marBottom w:val="0"/>
      <w:divBdr>
        <w:top w:val="none" w:sz="0" w:space="0" w:color="auto"/>
        <w:left w:val="none" w:sz="0" w:space="0" w:color="auto"/>
        <w:bottom w:val="none" w:sz="0" w:space="0" w:color="auto"/>
        <w:right w:val="none" w:sz="0" w:space="0" w:color="auto"/>
      </w:divBdr>
      <w:divsChild>
        <w:div w:id="788546806">
          <w:marLeft w:val="0"/>
          <w:marRight w:val="0"/>
          <w:marTop w:val="0"/>
          <w:marBottom w:val="0"/>
          <w:divBdr>
            <w:top w:val="none" w:sz="0" w:space="0" w:color="auto"/>
            <w:left w:val="none" w:sz="0" w:space="0" w:color="auto"/>
            <w:bottom w:val="none" w:sz="0" w:space="0" w:color="auto"/>
            <w:right w:val="none" w:sz="0" w:space="0" w:color="auto"/>
          </w:divBdr>
        </w:div>
        <w:div w:id="959650056">
          <w:marLeft w:val="0"/>
          <w:marRight w:val="0"/>
          <w:marTop w:val="0"/>
          <w:marBottom w:val="0"/>
          <w:divBdr>
            <w:top w:val="none" w:sz="0" w:space="0" w:color="auto"/>
            <w:left w:val="none" w:sz="0" w:space="0" w:color="auto"/>
            <w:bottom w:val="none" w:sz="0" w:space="0" w:color="auto"/>
            <w:right w:val="none" w:sz="0" w:space="0" w:color="auto"/>
          </w:divBdr>
        </w:div>
        <w:div w:id="1348826969">
          <w:marLeft w:val="0"/>
          <w:marRight w:val="0"/>
          <w:marTop w:val="0"/>
          <w:marBottom w:val="0"/>
          <w:divBdr>
            <w:top w:val="none" w:sz="0" w:space="0" w:color="auto"/>
            <w:left w:val="none" w:sz="0" w:space="0" w:color="auto"/>
            <w:bottom w:val="none" w:sz="0" w:space="0" w:color="auto"/>
            <w:right w:val="none" w:sz="0" w:space="0" w:color="auto"/>
          </w:divBdr>
        </w:div>
        <w:div w:id="1015377835">
          <w:marLeft w:val="0"/>
          <w:marRight w:val="0"/>
          <w:marTop w:val="0"/>
          <w:marBottom w:val="0"/>
          <w:divBdr>
            <w:top w:val="none" w:sz="0" w:space="0" w:color="auto"/>
            <w:left w:val="none" w:sz="0" w:space="0" w:color="auto"/>
            <w:bottom w:val="none" w:sz="0" w:space="0" w:color="auto"/>
            <w:right w:val="none" w:sz="0" w:space="0" w:color="auto"/>
          </w:divBdr>
        </w:div>
        <w:div w:id="780343860">
          <w:marLeft w:val="0"/>
          <w:marRight w:val="0"/>
          <w:marTop w:val="0"/>
          <w:marBottom w:val="0"/>
          <w:divBdr>
            <w:top w:val="none" w:sz="0" w:space="0" w:color="auto"/>
            <w:left w:val="none" w:sz="0" w:space="0" w:color="auto"/>
            <w:bottom w:val="none" w:sz="0" w:space="0" w:color="auto"/>
            <w:right w:val="none" w:sz="0" w:space="0" w:color="auto"/>
          </w:divBdr>
        </w:div>
      </w:divsChild>
    </w:div>
    <w:div w:id="1474329000">
      <w:bodyDiv w:val="1"/>
      <w:marLeft w:val="0"/>
      <w:marRight w:val="0"/>
      <w:marTop w:val="0"/>
      <w:marBottom w:val="0"/>
      <w:divBdr>
        <w:top w:val="none" w:sz="0" w:space="0" w:color="auto"/>
        <w:left w:val="none" w:sz="0" w:space="0" w:color="auto"/>
        <w:bottom w:val="none" w:sz="0" w:space="0" w:color="auto"/>
        <w:right w:val="none" w:sz="0" w:space="0" w:color="auto"/>
      </w:divBdr>
      <w:divsChild>
        <w:div w:id="620649714">
          <w:marLeft w:val="0"/>
          <w:marRight w:val="0"/>
          <w:marTop w:val="0"/>
          <w:marBottom w:val="0"/>
          <w:divBdr>
            <w:top w:val="none" w:sz="0" w:space="0" w:color="auto"/>
            <w:left w:val="none" w:sz="0" w:space="0" w:color="auto"/>
            <w:bottom w:val="none" w:sz="0" w:space="0" w:color="auto"/>
            <w:right w:val="none" w:sz="0" w:space="0" w:color="auto"/>
          </w:divBdr>
          <w:divsChild>
            <w:div w:id="58487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054328">
      <w:bodyDiv w:val="1"/>
      <w:marLeft w:val="0"/>
      <w:marRight w:val="0"/>
      <w:marTop w:val="0"/>
      <w:marBottom w:val="0"/>
      <w:divBdr>
        <w:top w:val="none" w:sz="0" w:space="0" w:color="auto"/>
        <w:left w:val="none" w:sz="0" w:space="0" w:color="auto"/>
        <w:bottom w:val="none" w:sz="0" w:space="0" w:color="auto"/>
        <w:right w:val="none" w:sz="0" w:space="0" w:color="auto"/>
      </w:divBdr>
      <w:divsChild>
        <w:div w:id="752821418">
          <w:marLeft w:val="0"/>
          <w:marRight w:val="0"/>
          <w:marTop w:val="0"/>
          <w:marBottom w:val="0"/>
          <w:divBdr>
            <w:top w:val="none" w:sz="0" w:space="0" w:color="auto"/>
            <w:left w:val="none" w:sz="0" w:space="0" w:color="auto"/>
            <w:bottom w:val="none" w:sz="0" w:space="0" w:color="auto"/>
            <w:right w:val="none" w:sz="0" w:space="0" w:color="auto"/>
          </w:divBdr>
          <w:divsChild>
            <w:div w:id="63530933">
              <w:marLeft w:val="0"/>
              <w:marRight w:val="0"/>
              <w:marTop w:val="0"/>
              <w:marBottom w:val="0"/>
              <w:divBdr>
                <w:top w:val="none" w:sz="0" w:space="0" w:color="auto"/>
                <w:left w:val="none" w:sz="0" w:space="0" w:color="auto"/>
                <w:bottom w:val="none" w:sz="0" w:space="0" w:color="auto"/>
                <w:right w:val="none" w:sz="0" w:space="0" w:color="auto"/>
              </w:divBdr>
            </w:div>
          </w:divsChild>
        </w:div>
        <w:div w:id="1636637475">
          <w:marLeft w:val="0"/>
          <w:marRight w:val="0"/>
          <w:marTop w:val="0"/>
          <w:marBottom w:val="0"/>
          <w:divBdr>
            <w:top w:val="none" w:sz="0" w:space="0" w:color="auto"/>
            <w:left w:val="none" w:sz="0" w:space="0" w:color="auto"/>
            <w:bottom w:val="none" w:sz="0" w:space="0" w:color="auto"/>
            <w:right w:val="none" w:sz="0" w:space="0" w:color="auto"/>
          </w:divBdr>
          <w:divsChild>
            <w:div w:id="752554351">
              <w:marLeft w:val="0"/>
              <w:marRight w:val="0"/>
              <w:marTop w:val="0"/>
              <w:marBottom w:val="0"/>
              <w:divBdr>
                <w:top w:val="none" w:sz="0" w:space="0" w:color="auto"/>
                <w:left w:val="none" w:sz="0" w:space="0" w:color="auto"/>
                <w:bottom w:val="none" w:sz="0" w:space="0" w:color="auto"/>
                <w:right w:val="none" w:sz="0" w:space="0" w:color="auto"/>
              </w:divBdr>
            </w:div>
          </w:divsChild>
        </w:div>
        <w:div w:id="202209109">
          <w:marLeft w:val="0"/>
          <w:marRight w:val="0"/>
          <w:marTop w:val="0"/>
          <w:marBottom w:val="0"/>
          <w:divBdr>
            <w:top w:val="none" w:sz="0" w:space="0" w:color="auto"/>
            <w:left w:val="none" w:sz="0" w:space="0" w:color="auto"/>
            <w:bottom w:val="none" w:sz="0" w:space="0" w:color="auto"/>
            <w:right w:val="none" w:sz="0" w:space="0" w:color="auto"/>
          </w:divBdr>
          <w:divsChild>
            <w:div w:id="676005355">
              <w:marLeft w:val="0"/>
              <w:marRight w:val="0"/>
              <w:marTop w:val="0"/>
              <w:marBottom w:val="0"/>
              <w:divBdr>
                <w:top w:val="none" w:sz="0" w:space="0" w:color="auto"/>
                <w:left w:val="none" w:sz="0" w:space="0" w:color="auto"/>
                <w:bottom w:val="none" w:sz="0" w:space="0" w:color="auto"/>
                <w:right w:val="none" w:sz="0" w:space="0" w:color="auto"/>
              </w:divBdr>
            </w:div>
          </w:divsChild>
        </w:div>
        <w:div w:id="483742882">
          <w:marLeft w:val="0"/>
          <w:marRight w:val="0"/>
          <w:marTop w:val="0"/>
          <w:marBottom w:val="0"/>
          <w:divBdr>
            <w:top w:val="none" w:sz="0" w:space="0" w:color="auto"/>
            <w:left w:val="none" w:sz="0" w:space="0" w:color="auto"/>
            <w:bottom w:val="none" w:sz="0" w:space="0" w:color="auto"/>
            <w:right w:val="none" w:sz="0" w:space="0" w:color="auto"/>
          </w:divBdr>
          <w:divsChild>
            <w:div w:id="322658301">
              <w:marLeft w:val="0"/>
              <w:marRight w:val="0"/>
              <w:marTop w:val="0"/>
              <w:marBottom w:val="0"/>
              <w:divBdr>
                <w:top w:val="none" w:sz="0" w:space="0" w:color="auto"/>
                <w:left w:val="none" w:sz="0" w:space="0" w:color="auto"/>
                <w:bottom w:val="none" w:sz="0" w:space="0" w:color="auto"/>
                <w:right w:val="none" w:sz="0" w:space="0" w:color="auto"/>
              </w:divBdr>
            </w:div>
          </w:divsChild>
        </w:div>
        <w:div w:id="2032368358">
          <w:marLeft w:val="0"/>
          <w:marRight w:val="0"/>
          <w:marTop w:val="0"/>
          <w:marBottom w:val="0"/>
          <w:divBdr>
            <w:top w:val="none" w:sz="0" w:space="0" w:color="auto"/>
            <w:left w:val="none" w:sz="0" w:space="0" w:color="auto"/>
            <w:bottom w:val="none" w:sz="0" w:space="0" w:color="auto"/>
            <w:right w:val="none" w:sz="0" w:space="0" w:color="auto"/>
          </w:divBdr>
          <w:divsChild>
            <w:div w:id="1520463783">
              <w:marLeft w:val="0"/>
              <w:marRight w:val="0"/>
              <w:marTop w:val="0"/>
              <w:marBottom w:val="0"/>
              <w:divBdr>
                <w:top w:val="none" w:sz="0" w:space="0" w:color="auto"/>
                <w:left w:val="none" w:sz="0" w:space="0" w:color="auto"/>
                <w:bottom w:val="none" w:sz="0" w:space="0" w:color="auto"/>
                <w:right w:val="none" w:sz="0" w:space="0" w:color="auto"/>
              </w:divBdr>
            </w:div>
          </w:divsChild>
        </w:div>
        <w:div w:id="1443107921">
          <w:marLeft w:val="0"/>
          <w:marRight w:val="0"/>
          <w:marTop w:val="0"/>
          <w:marBottom w:val="0"/>
          <w:divBdr>
            <w:top w:val="none" w:sz="0" w:space="0" w:color="auto"/>
            <w:left w:val="none" w:sz="0" w:space="0" w:color="auto"/>
            <w:bottom w:val="none" w:sz="0" w:space="0" w:color="auto"/>
            <w:right w:val="none" w:sz="0" w:space="0" w:color="auto"/>
          </w:divBdr>
          <w:divsChild>
            <w:div w:id="2107531059">
              <w:marLeft w:val="0"/>
              <w:marRight w:val="0"/>
              <w:marTop w:val="0"/>
              <w:marBottom w:val="0"/>
              <w:divBdr>
                <w:top w:val="none" w:sz="0" w:space="0" w:color="auto"/>
                <w:left w:val="none" w:sz="0" w:space="0" w:color="auto"/>
                <w:bottom w:val="none" w:sz="0" w:space="0" w:color="auto"/>
                <w:right w:val="none" w:sz="0" w:space="0" w:color="auto"/>
              </w:divBdr>
            </w:div>
          </w:divsChild>
        </w:div>
        <w:div w:id="184759165">
          <w:marLeft w:val="0"/>
          <w:marRight w:val="0"/>
          <w:marTop w:val="0"/>
          <w:marBottom w:val="0"/>
          <w:divBdr>
            <w:top w:val="none" w:sz="0" w:space="0" w:color="auto"/>
            <w:left w:val="none" w:sz="0" w:space="0" w:color="auto"/>
            <w:bottom w:val="none" w:sz="0" w:space="0" w:color="auto"/>
            <w:right w:val="none" w:sz="0" w:space="0" w:color="auto"/>
          </w:divBdr>
          <w:divsChild>
            <w:div w:id="66612635">
              <w:marLeft w:val="0"/>
              <w:marRight w:val="0"/>
              <w:marTop w:val="0"/>
              <w:marBottom w:val="0"/>
              <w:divBdr>
                <w:top w:val="none" w:sz="0" w:space="0" w:color="auto"/>
                <w:left w:val="none" w:sz="0" w:space="0" w:color="auto"/>
                <w:bottom w:val="none" w:sz="0" w:space="0" w:color="auto"/>
                <w:right w:val="none" w:sz="0" w:space="0" w:color="auto"/>
              </w:divBdr>
            </w:div>
          </w:divsChild>
        </w:div>
        <w:div w:id="1995912852">
          <w:marLeft w:val="0"/>
          <w:marRight w:val="0"/>
          <w:marTop w:val="0"/>
          <w:marBottom w:val="0"/>
          <w:divBdr>
            <w:top w:val="none" w:sz="0" w:space="0" w:color="auto"/>
            <w:left w:val="none" w:sz="0" w:space="0" w:color="auto"/>
            <w:bottom w:val="none" w:sz="0" w:space="0" w:color="auto"/>
            <w:right w:val="none" w:sz="0" w:space="0" w:color="auto"/>
          </w:divBdr>
          <w:divsChild>
            <w:div w:id="138275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88583">
      <w:bodyDiv w:val="1"/>
      <w:marLeft w:val="0"/>
      <w:marRight w:val="0"/>
      <w:marTop w:val="0"/>
      <w:marBottom w:val="0"/>
      <w:divBdr>
        <w:top w:val="none" w:sz="0" w:space="0" w:color="auto"/>
        <w:left w:val="none" w:sz="0" w:space="0" w:color="auto"/>
        <w:bottom w:val="none" w:sz="0" w:space="0" w:color="auto"/>
        <w:right w:val="none" w:sz="0" w:space="0" w:color="auto"/>
      </w:divBdr>
      <w:divsChild>
        <w:div w:id="2121559562">
          <w:blockQuote w:val="1"/>
          <w:marLeft w:val="720"/>
          <w:marRight w:val="720"/>
          <w:marTop w:val="100"/>
          <w:marBottom w:val="100"/>
          <w:divBdr>
            <w:top w:val="none" w:sz="0" w:space="0" w:color="auto"/>
            <w:left w:val="none" w:sz="0" w:space="0" w:color="auto"/>
            <w:bottom w:val="none" w:sz="0" w:space="0" w:color="auto"/>
            <w:right w:val="none" w:sz="0" w:space="0" w:color="auto"/>
          </w:divBdr>
        </w:div>
        <w:div w:id="565726611">
          <w:blockQuote w:val="1"/>
          <w:marLeft w:val="720"/>
          <w:marRight w:val="720"/>
          <w:marTop w:val="100"/>
          <w:marBottom w:val="100"/>
          <w:divBdr>
            <w:top w:val="none" w:sz="0" w:space="0" w:color="auto"/>
            <w:left w:val="none" w:sz="0" w:space="0" w:color="auto"/>
            <w:bottom w:val="none" w:sz="0" w:space="0" w:color="auto"/>
            <w:right w:val="none" w:sz="0" w:space="0" w:color="auto"/>
          </w:divBdr>
        </w:div>
        <w:div w:id="452406653">
          <w:blockQuote w:val="1"/>
          <w:marLeft w:val="720"/>
          <w:marRight w:val="720"/>
          <w:marTop w:val="100"/>
          <w:marBottom w:val="100"/>
          <w:divBdr>
            <w:top w:val="none" w:sz="0" w:space="0" w:color="auto"/>
            <w:left w:val="none" w:sz="0" w:space="0" w:color="auto"/>
            <w:bottom w:val="none" w:sz="0" w:space="0" w:color="auto"/>
            <w:right w:val="none" w:sz="0" w:space="0" w:color="auto"/>
          </w:divBdr>
        </w:div>
        <w:div w:id="922184258">
          <w:blockQuote w:val="1"/>
          <w:marLeft w:val="720"/>
          <w:marRight w:val="720"/>
          <w:marTop w:val="100"/>
          <w:marBottom w:val="100"/>
          <w:divBdr>
            <w:top w:val="none" w:sz="0" w:space="0" w:color="auto"/>
            <w:left w:val="none" w:sz="0" w:space="0" w:color="auto"/>
            <w:bottom w:val="none" w:sz="0" w:space="0" w:color="auto"/>
            <w:right w:val="none" w:sz="0" w:space="0" w:color="auto"/>
          </w:divBdr>
        </w:div>
        <w:div w:id="535125186">
          <w:blockQuote w:val="1"/>
          <w:marLeft w:val="720"/>
          <w:marRight w:val="720"/>
          <w:marTop w:val="100"/>
          <w:marBottom w:val="100"/>
          <w:divBdr>
            <w:top w:val="none" w:sz="0" w:space="0" w:color="auto"/>
            <w:left w:val="none" w:sz="0" w:space="0" w:color="auto"/>
            <w:bottom w:val="none" w:sz="0" w:space="0" w:color="auto"/>
            <w:right w:val="none" w:sz="0" w:space="0" w:color="auto"/>
          </w:divBdr>
        </w:div>
        <w:div w:id="6696732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33628451">
          <w:blockQuote w:val="1"/>
          <w:marLeft w:val="720"/>
          <w:marRight w:val="720"/>
          <w:marTop w:val="100"/>
          <w:marBottom w:val="100"/>
          <w:divBdr>
            <w:top w:val="none" w:sz="0" w:space="0" w:color="auto"/>
            <w:left w:val="none" w:sz="0" w:space="0" w:color="auto"/>
            <w:bottom w:val="none" w:sz="0" w:space="0" w:color="auto"/>
            <w:right w:val="none" w:sz="0" w:space="0" w:color="auto"/>
          </w:divBdr>
        </w:div>
        <w:div w:id="12446077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7259371">
      <w:bodyDiv w:val="1"/>
      <w:marLeft w:val="0"/>
      <w:marRight w:val="0"/>
      <w:marTop w:val="0"/>
      <w:marBottom w:val="0"/>
      <w:divBdr>
        <w:top w:val="none" w:sz="0" w:space="0" w:color="auto"/>
        <w:left w:val="none" w:sz="0" w:space="0" w:color="auto"/>
        <w:bottom w:val="none" w:sz="0" w:space="0" w:color="auto"/>
        <w:right w:val="none" w:sz="0" w:space="0" w:color="auto"/>
      </w:divBdr>
      <w:divsChild>
        <w:div w:id="898057847">
          <w:marLeft w:val="0"/>
          <w:marRight w:val="0"/>
          <w:marTop w:val="0"/>
          <w:marBottom w:val="0"/>
          <w:divBdr>
            <w:top w:val="none" w:sz="0" w:space="0" w:color="auto"/>
            <w:left w:val="none" w:sz="0" w:space="0" w:color="auto"/>
            <w:bottom w:val="none" w:sz="0" w:space="0" w:color="auto"/>
            <w:right w:val="none" w:sz="0" w:space="0" w:color="auto"/>
          </w:divBdr>
        </w:div>
        <w:div w:id="1439718232">
          <w:marLeft w:val="0"/>
          <w:marRight w:val="0"/>
          <w:marTop w:val="0"/>
          <w:marBottom w:val="0"/>
          <w:divBdr>
            <w:top w:val="none" w:sz="0" w:space="0" w:color="auto"/>
            <w:left w:val="none" w:sz="0" w:space="0" w:color="auto"/>
            <w:bottom w:val="none" w:sz="0" w:space="0" w:color="auto"/>
            <w:right w:val="none" w:sz="0" w:space="0" w:color="auto"/>
          </w:divBdr>
        </w:div>
      </w:divsChild>
    </w:div>
    <w:div w:id="2003655274">
      <w:bodyDiv w:val="1"/>
      <w:marLeft w:val="0"/>
      <w:marRight w:val="0"/>
      <w:marTop w:val="0"/>
      <w:marBottom w:val="0"/>
      <w:divBdr>
        <w:top w:val="none" w:sz="0" w:space="0" w:color="auto"/>
        <w:left w:val="none" w:sz="0" w:space="0" w:color="auto"/>
        <w:bottom w:val="none" w:sz="0" w:space="0" w:color="auto"/>
        <w:right w:val="none" w:sz="0" w:space="0" w:color="auto"/>
      </w:divBdr>
      <w:divsChild>
        <w:div w:id="287056281">
          <w:marLeft w:val="0"/>
          <w:marRight w:val="0"/>
          <w:marTop w:val="0"/>
          <w:marBottom w:val="0"/>
          <w:divBdr>
            <w:top w:val="none" w:sz="0" w:space="0" w:color="auto"/>
            <w:left w:val="none" w:sz="0" w:space="0" w:color="auto"/>
            <w:bottom w:val="none" w:sz="0" w:space="0" w:color="auto"/>
            <w:right w:val="none" w:sz="0" w:space="0" w:color="auto"/>
          </w:divBdr>
          <w:divsChild>
            <w:div w:id="47025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4D8F3-E0D1-B34D-B21D-0E53B800F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4732</Words>
  <Characters>24136</Characters>
  <Application>Microsoft Macintosh Word</Application>
  <DocSecurity>0</DocSecurity>
  <Lines>431</Lines>
  <Paragraphs>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28776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dcterms:created xsi:type="dcterms:W3CDTF">2012-04-30T12:14:00Z</dcterms:created>
  <dcterms:modified xsi:type="dcterms:W3CDTF">2012-06-16T05:02:00Z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1c6139cb-b0d5-449f-9b16-055bc6dce2d0</vt:lpwstr>
  </property>
  <property fmtid="{D5CDD505-2E9C-101B-9397-08002B2CF9AE}" pid="3" name="DocumentToolsEventId">
    <vt:lpwstr>acffba62-5656-438f-9fb0-c48a8e3d8608</vt:lpwstr>
  </property>
</Properties>
</file>